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2336"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18AC6A5C" w:rsidR="00260A47" w:rsidRDefault="00FE2BD0">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2B1E8A">
                                      <w:rPr>
                                        <w:color w:val="4472C4" w:themeColor="accent1"/>
                                        <w:sz w:val="36"/>
                                        <w:szCs w:val="36"/>
                                      </w:rPr>
                                      <w:t>personvognsmekaniker,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233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18AC6A5C" w:rsidR="00260A47" w:rsidRDefault="00FE2BD0">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2B1E8A">
                                <w:rPr>
                                  <w:color w:val="4472C4" w:themeColor="accent1"/>
                                  <w:sz w:val="36"/>
                                  <w:szCs w:val="36"/>
                                </w:rPr>
                                <w:t>personvognsmekaniker,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8240"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F300E09" id="Gruppe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4144"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FE2BD0">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414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FE2BD0">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64585DFA" w14:textId="5A968FE5" w:rsidR="00FE2BD0"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4022" w:history="1">
            <w:r w:rsidR="00FE2BD0" w:rsidRPr="00985FE9">
              <w:rPr>
                <w:rStyle w:val="Hyperlink"/>
                <w:b/>
                <w:bCs/>
                <w:noProof/>
              </w:rPr>
              <w:t>Overordnet pædagogisk/didaktisk ramme for erhvervsuddannelserne på EUC Nordvest</w:t>
            </w:r>
            <w:r w:rsidR="00FE2BD0">
              <w:rPr>
                <w:noProof/>
                <w:webHidden/>
              </w:rPr>
              <w:tab/>
            </w:r>
            <w:r w:rsidR="00FE2BD0">
              <w:rPr>
                <w:noProof/>
                <w:webHidden/>
              </w:rPr>
              <w:fldChar w:fldCharType="begin"/>
            </w:r>
            <w:r w:rsidR="00FE2BD0">
              <w:rPr>
                <w:noProof/>
                <w:webHidden/>
              </w:rPr>
              <w:instrText xml:space="preserve"> PAGEREF _Toc156724022 \h </w:instrText>
            </w:r>
            <w:r w:rsidR="00FE2BD0">
              <w:rPr>
                <w:noProof/>
                <w:webHidden/>
              </w:rPr>
            </w:r>
            <w:r w:rsidR="00FE2BD0">
              <w:rPr>
                <w:noProof/>
                <w:webHidden/>
              </w:rPr>
              <w:fldChar w:fldCharType="separate"/>
            </w:r>
            <w:r w:rsidR="00FE2BD0">
              <w:rPr>
                <w:noProof/>
                <w:webHidden/>
              </w:rPr>
              <w:t>2</w:t>
            </w:r>
            <w:r w:rsidR="00FE2BD0">
              <w:rPr>
                <w:noProof/>
                <w:webHidden/>
              </w:rPr>
              <w:fldChar w:fldCharType="end"/>
            </w:r>
          </w:hyperlink>
        </w:p>
        <w:p w14:paraId="2D1A1FF4" w14:textId="3B9C00E8"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3" w:history="1">
            <w:r w:rsidRPr="00985FE9">
              <w:rPr>
                <w:rStyle w:val="Hyperlink"/>
                <w:b/>
                <w:bCs/>
                <w:noProof/>
              </w:rPr>
              <w:t>Helhedsorientering</w:t>
            </w:r>
            <w:r>
              <w:rPr>
                <w:noProof/>
                <w:webHidden/>
              </w:rPr>
              <w:tab/>
            </w:r>
            <w:r>
              <w:rPr>
                <w:noProof/>
                <w:webHidden/>
              </w:rPr>
              <w:fldChar w:fldCharType="begin"/>
            </w:r>
            <w:r>
              <w:rPr>
                <w:noProof/>
                <w:webHidden/>
              </w:rPr>
              <w:instrText xml:space="preserve"> PAGEREF _Toc156724023 \h </w:instrText>
            </w:r>
            <w:r>
              <w:rPr>
                <w:noProof/>
                <w:webHidden/>
              </w:rPr>
            </w:r>
            <w:r>
              <w:rPr>
                <w:noProof/>
                <w:webHidden/>
              </w:rPr>
              <w:fldChar w:fldCharType="separate"/>
            </w:r>
            <w:r>
              <w:rPr>
                <w:noProof/>
                <w:webHidden/>
              </w:rPr>
              <w:t>2</w:t>
            </w:r>
            <w:r>
              <w:rPr>
                <w:noProof/>
                <w:webHidden/>
              </w:rPr>
              <w:fldChar w:fldCharType="end"/>
            </w:r>
          </w:hyperlink>
        </w:p>
        <w:p w14:paraId="5E48AF34" w14:textId="0BED2FFD"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4" w:history="1">
            <w:r w:rsidRPr="00985FE9">
              <w:rPr>
                <w:rStyle w:val="Hyperlink"/>
                <w:b/>
                <w:bCs/>
                <w:noProof/>
              </w:rPr>
              <w:t>Differentiering</w:t>
            </w:r>
            <w:r>
              <w:rPr>
                <w:noProof/>
                <w:webHidden/>
              </w:rPr>
              <w:tab/>
            </w:r>
            <w:r>
              <w:rPr>
                <w:noProof/>
                <w:webHidden/>
              </w:rPr>
              <w:fldChar w:fldCharType="begin"/>
            </w:r>
            <w:r>
              <w:rPr>
                <w:noProof/>
                <w:webHidden/>
              </w:rPr>
              <w:instrText xml:space="preserve"> PAGEREF _Toc156724024 \h </w:instrText>
            </w:r>
            <w:r>
              <w:rPr>
                <w:noProof/>
                <w:webHidden/>
              </w:rPr>
            </w:r>
            <w:r>
              <w:rPr>
                <w:noProof/>
                <w:webHidden/>
              </w:rPr>
              <w:fldChar w:fldCharType="separate"/>
            </w:r>
            <w:r>
              <w:rPr>
                <w:noProof/>
                <w:webHidden/>
              </w:rPr>
              <w:t>2</w:t>
            </w:r>
            <w:r>
              <w:rPr>
                <w:noProof/>
                <w:webHidden/>
              </w:rPr>
              <w:fldChar w:fldCharType="end"/>
            </w:r>
          </w:hyperlink>
        </w:p>
        <w:p w14:paraId="25763662" w14:textId="0E4FBC59"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5" w:history="1">
            <w:r w:rsidRPr="00985FE9">
              <w:rPr>
                <w:rStyle w:val="Hyperlink"/>
                <w:b/>
                <w:bCs/>
                <w:noProof/>
              </w:rPr>
              <w:t>Tværfaglighed</w:t>
            </w:r>
            <w:r>
              <w:rPr>
                <w:noProof/>
                <w:webHidden/>
              </w:rPr>
              <w:tab/>
            </w:r>
            <w:r>
              <w:rPr>
                <w:noProof/>
                <w:webHidden/>
              </w:rPr>
              <w:fldChar w:fldCharType="begin"/>
            </w:r>
            <w:r>
              <w:rPr>
                <w:noProof/>
                <w:webHidden/>
              </w:rPr>
              <w:instrText xml:space="preserve"> PAGEREF _Toc156724025 \h </w:instrText>
            </w:r>
            <w:r>
              <w:rPr>
                <w:noProof/>
                <w:webHidden/>
              </w:rPr>
            </w:r>
            <w:r>
              <w:rPr>
                <w:noProof/>
                <w:webHidden/>
              </w:rPr>
              <w:fldChar w:fldCharType="separate"/>
            </w:r>
            <w:r>
              <w:rPr>
                <w:noProof/>
                <w:webHidden/>
              </w:rPr>
              <w:t>3</w:t>
            </w:r>
            <w:r>
              <w:rPr>
                <w:noProof/>
                <w:webHidden/>
              </w:rPr>
              <w:fldChar w:fldCharType="end"/>
            </w:r>
          </w:hyperlink>
        </w:p>
        <w:p w14:paraId="431114EF" w14:textId="3F94E005"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6" w:history="1">
            <w:r w:rsidRPr="00985FE9">
              <w:rPr>
                <w:rStyle w:val="Hyperlink"/>
                <w:b/>
                <w:bCs/>
                <w:noProof/>
              </w:rPr>
              <w:t>Praksisnærhed</w:t>
            </w:r>
            <w:r>
              <w:rPr>
                <w:noProof/>
                <w:webHidden/>
              </w:rPr>
              <w:tab/>
            </w:r>
            <w:r>
              <w:rPr>
                <w:noProof/>
                <w:webHidden/>
              </w:rPr>
              <w:fldChar w:fldCharType="begin"/>
            </w:r>
            <w:r>
              <w:rPr>
                <w:noProof/>
                <w:webHidden/>
              </w:rPr>
              <w:instrText xml:space="preserve"> PAGEREF _Toc156724026 \h </w:instrText>
            </w:r>
            <w:r>
              <w:rPr>
                <w:noProof/>
                <w:webHidden/>
              </w:rPr>
            </w:r>
            <w:r>
              <w:rPr>
                <w:noProof/>
                <w:webHidden/>
              </w:rPr>
              <w:fldChar w:fldCharType="separate"/>
            </w:r>
            <w:r>
              <w:rPr>
                <w:noProof/>
                <w:webHidden/>
              </w:rPr>
              <w:t>3</w:t>
            </w:r>
            <w:r>
              <w:rPr>
                <w:noProof/>
                <w:webHidden/>
              </w:rPr>
              <w:fldChar w:fldCharType="end"/>
            </w:r>
          </w:hyperlink>
        </w:p>
        <w:p w14:paraId="015CEBAC" w14:textId="2B2EAFDD"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27" w:history="1">
            <w:r w:rsidRPr="00985FE9">
              <w:rPr>
                <w:rStyle w:val="Hyperlink"/>
                <w:b/>
                <w:bCs/>
                <w:noProof/>
              </w:rPr>
              <w:t>Lokal undervisningsplan – GF2</w:t>
            </w:r>
            <w:r>
              <w:rPr>
                <w:noProof/>
                <w:webHidden/>
              </w:rPr>
              <w:tab/>
            </w:r>
            <w:r>
              <w:rPr>
                <w:noProof/>
                <w:webHidden/>
              </w:rPr>
              <w:fldChar w:fldCharType="begin"/>
            </w:r>
            <w:r>
              <w:rPr>
                <w:noProof/>
                <w:webHidden/>
              </w:rPr>
              <w:instrText xml:space="preserve"> PAGEREF _Toc156724027 \h </w:instrText>
            </w:r>
            <w:r>
              <w:rPr>
                <w:noProof/>
                <w:webHidden/>
              </w:rPr>
            </w:r>
            <w:r>
              <w:rPr>
                <w:noProof/>
                <w:webHidden/>
              </w:rPr>
              <w:fldChar w:fldCharType="separate"/>
            </w:r>
            <w:r>
              <w:rPr>
                <w:noProof/>
                <w:webHidden/>
              </w:rPr>
              <w:t>4</w:t>
            </w:r>
            <w:r>
              <w:rPr>
                <w:noProof/>
                <w:webHidden/>
              </w:rPr>
              <w:fldChar w:fldCharType="end"/>
            </w:r>
          </w:hyperlink>
        </w:p>
        <w:p w14:paraId="64C9C69A" w14:textId="5D0EF256"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8" w:history="1">
            <w:r w:rsidRPr="00985FE9">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_Toc156724028 \h </w:instrText>
            </w:r>
            <w:r>
              <w:rPr>
                <w:noProof/>
                <w:webHidden/>
              </w:rPr>
            </w:r>
            <w:r>
              <w:rPr>
                <w:noProof/>
                <w:webHidden/>
              </w:rPr>
              <w:fldChar w:fldCharType="separate"/>
            </w:r>
            <w:r>
              <w:rPr>
                <w:noProof/>
                <w:webHidden/>
              </w:rPr>
              <w:t>4</w:t>
            </w:r>
            <w:r>
              <w:rPr>
                <w:noProof/>
                <w:webHidden/>
              </w:rPr>
              <w:fldChar w:fldCharType="end"/>
            </w:r>
          </w:hyperlink>
        </w:p>
        <w:p w14:paraId="2BD4E6BA" w14:textId="1EE55F0C"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29" w:history="1">
            <w:r w:rsidRPr="00985FE9">
              <w:rPr>
                <w:rStyle w:val="Hyperlink"/>
                <w:b/>
                <w:bCs/>
                <w:noProof/>
              </w:rPr>
              <w:t>Formål – kort indledning til arbejdet</w:t>
            </w:r>
            <w:r>
              <w:rPr>
                <w:noProof/>
                <w:webHidden/>
              </w:rPr>
              <w:tab/>
            </w:r>
            <w:r>
              <w:rPr>
                <w:noProof/>
                <w:webHidden/>
              </w:rPr>
              <w:fldChar w:fldCharType="begin"/>
            </w:r>
            <w:r>
              <w:rPr>
                <w:noProof/>
                <w:webHidden/>
              </w:rPr>
              <w:instrText xml:space="preserve"> PAGEREF _Toc156724029 \h </w:instrText>
            </w:r>
            <w:r>
              <w:rPr>
                <w:noProof/>
                <w:webHidden/>
              </w:rPr>
            </w:r>
            <w:r>
              <w:rPr>
                <w:noProof/>
                <w:webHidden/>
              </w:rPr>
              <w:fldChar w:fldCharType="separate"/>
            </w:r>
            <w:r>
              <w:rPr>
                <w:noProof/>
                <w:webHidden/>
              </w:rPr>
              <w:t>4</w:t>
            </w:r>
            <w:r>
              <w:rPr>
                <w:noProof/>
                <w:webHidden/>
              </w:rPr>
              <w:fldChar w:fldCharType="end"/>
            </w:r>
          </w:hyperlink>
        </w:p>
        <w:p w14:paraId="21A43847" w14:textId="68DCC036"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30" w:history="1">
            <w:r w:rsidRPr="00985FE9">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_Toc156724030 \h </w:instrText>
            </w:r>
            <w:r>
              <w:rPr>
                <w:noProof/>
                <w:webHidden/>
              </w:rPr>
            </w:r>
            <w:r>
              <w:rPr>
                <w:noProof/>
                <w:webHidden/>
              </w:rPr>
              <w:fldChar w:fldCharType="separate"/>
            </w:r>
            <w:r>
              <w:rPr>
                <w:noProof/>
                <w:webHidden/>
              </w:rPr>
              <w:t>4</w:t>
            </w:r>
            <w:r>
              <w:rPr>
                <w:noProof/>
                <w:webHidden/>
              </w:rPr>
              <w:fldChar w:fldCharType="end"/>
            </w:r>
          </w:hyperlink>
        </w:p>
        <w:p w14:paraId="340FB2F1" w14:textId="540A0E58"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31" w:history="1">
            <w:r w:rsidRPr="00985FE9">
              <w:rPr>
                <w:rStyle w:val="Hyperlink"/>
                <w:b/>
                <w:bCs/>
                <w:noProof/>
              </w:rPr>
              <w:t>Grundfag</w:t>
            </w:r>
            <w:r>
              <w:rPr>
                <w:noProof/>
                <w:webHidden/>
              </w:rPr>
              <w:tab/>
            </w:r>
            <w:r>
              <w:rPr>
                <w:noProof/>
                <w:webHidden/>
              </w:rPr>
              <w:fldChar w:fldCharType="begin"/>
            </w:r>
            <w:r>
              <w:rPr>
                <w:noProof/>
                <w:webHidden/>
              </w:rPr>
              <w:instrText xml:space="preserve"> PAGEREF _Toc156724031 \h </w:instrText>
            </w:r>
            <w:r>
              <w:rPr>
                <w:noProof/>
                <w:webHidden/>
              </w:rPr>
            </w:r>
            <w:r>
              <w:rPr>
                <w:noProof/>
                <w:webHidden/>
              </w:rPr>
              <w:fldChar w:fldCharType="separate"/>
            </w:r>
            <w:r>
              <w:rPr>
                <w:noProof/>
                <w:webHidden/>
              </w:rPr>
              <w:t>7</w:t>
            </w:r>
            <w:r>
              <w:rPr>
                <w:noProof/>
                <w:webHidden/>
              </w:rPr>
              <w:fldChar w:fldCharType="end"/>
            </w:r>
          </w:hyperlink>
        </w:p>
        <w:p w14:paraId="59509566" w14:textId="32378DC3"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32" w:history="1">
            <w:r w:rsidRPr="00985FE9">
              <w:rPr>
                <w:rStyle w:val="Hyperlink"/>
                <w:b/>
                <w:bCs/>
                <w:noProof/>
              </w:rPr>
              <w:t>Fysik</w:t>
            </w:r>
            <w:r>
              <w:rPr>
                <w:noProof/>
                <w:webHidden/>
              </w:rPr>
              <w:tab/>
            </w:r>
            <w:r>
              <w:rPr>
                <w:noProof/>
                <w:webHidden/>
              </w:rPr>
              <w:fldChar w:fldCharType="begin"/>
            </w:r>
            <w:r>
              <w:rPr>
                <w:noProof/>
                <w:webHidden/>
              </w:rPr>
              <w:instrText xml:space="preserve"> PAGEREF _Toc156724032 \h </w:instrText>
            </w:r>
            <w:r>
              <w:rPr>
                <w:noProof/>
                <w:webHidden/>
              </w:rPr>
            </w:r>
            <w:r>
              <w:rPr>
                <w:noProof/>
                <w:webHidden/>
              </w:rPr>
              <w:fldChar w:fldCharType="separate"/>
            </w:r>
            <w:r>
              <w:rPr>
                <w:noProof/>
                <w:webHidden/>
              </w:rPr>
              <w:t>7</w:t>
            </w:r>
            <w:r>
              <w:rPr>
                <w:noProof/>
                <w:webHidden/>
              </w:rPr>
              <w:fldChar w:fldCharType="end"/>
            </w:r>
          </w:hyperlink>
        </w:p>
        <w:p w14:paraId="03805FB2" w14:textId="31B6573D"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33" w:history="1">
            <w:r w:rsidRPr="00985FE9">
              <w:rPr>
                <w:rStyle w:val="Hyperlink"/>
                <w:b/>
                <w:bCs/>
                <w:noProof/>
              </w:rPr>
              <w:t>Dansk og engelsk</w:t>
            </w:r>
            <w:r>
              <w:rPr>
                <w:noProof/>
                <w:webHidden/>
              </w:rPr>
              <w:tab/>
            </w:r>
            <w:r>
              <w:rPr>
                <w:noProof/>
                <w:webHidden/>
              </w:rPr>
              <w:fldChar w:fldCharType="begin"/>
            </w:r>
            <w:r>
              <w:rPr>
                <w:noProof/>
                <w:webHidden/>
              </w:rPr>
              <w:instrText xml:space="preserve"> PAGEREF _Toc156724033 \h </w:instrText>
            </w:r>
            <w:r>
              <w:rPr>
                <w:noProof/>
                <w:webHidden/>
              </w:rPr>
            </w:r>
            <w:r>
              <w:rPr>
                <w:noProof/>
                <w:webHidden/>
              </w:rPr>
              <w:fldChar w:fldCharType="separate"/>
            </w:r>
            <w:r>
              <w:rPr>
                <w:noProof/>
                <w:webHidden/>
              </w:rPr>
              <w:t>8</w:t>
            </w:r>
            <w:r>
              <w:rPr>
                <w:noProof/>
                <w:webHidden/>
              </w:rPr>
              <w:fldChar w:fldCharType="end"/>
            </w:r>
          </w:hyperlink>
        </w:p>
        <w:p w14:paraId="6EE3E9E1" w14:textId="7452E493"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34" w:history="1">
            <w:r w:rsidRPr="00985FE9">
              <w:rPr>
                <w:rStyle w:val="Hyperlink"/>
                <w:b/>
                <w:bCs/>
                <w:noProof/>
              </w:rPr>
              <w:t>Matematik</w:t>
            </w:r>
            <w:r>
              <w:rPr>
                <w:noProof/>
                <w:webHidden/>
              </w:rPr>
              <w:tab/>
            </w:r>
            <w:r>
              <w:rPr>
                <w:noProof/>
                <w:webHidden/>
              </w:rPr>
              <w:fldChar w:fldCharType="begin"/>
            </w:r>
            <w:r>
              <w:rPr>
                <w:noProof/>
                <w:webHidden/>
              </w:rPr>
              <w:instrText xml:space="preserve"> PAGEREF _Toc156724034 \h </w:instrText>
            </w:r>
            <w:r>
              <w:rPr>
                <w:noProof/>
                <w:webHidden/>
              </w:rPr>
            </w:r>
            <w:r>
              <w:rPr>
                <w:noProof/>
                <w:webHidden/>
              </w:rPr>
              <w:fldChar w:fldCharType="separate"/>
            </w:r>
            <w:r>
              <w:rPr>
                <w:noProof/>
                <w:webHidden/>
              </w:rPr>
              <w:t>9</w:t>
            </w:r>
            <w:r>
              <w:rPr>
                <w:noProof/>
                <w:webHidden/>
              </w:rPr>
              <w:fldChar w:fldCharType="end"/>
            </w:r>
          </w:hyperlink>
        </w:p>
        <w:p w14:paraId="3890621D" w14:textId="46943CE6"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35" w:history="1">
            <w:r w:rsidRPr="00985FE9">
              <w:rPr>
                <w:rStyle w:val="Hyperlink"/>
                <w:b/>
                <w:bCs/>
                <w:noProof/>
              </w:rPr>
              <w:t>Certifikatfag</w:t>
            </w:r>
            <w:r>
              <w:rPr>
                <w:noProof/>
                <w:webHidden/>
              </w:rPr>
              <w:tab/>
            </w:r>
            <w:r>
              <w:rPr>
                <w:noProof/>
                <w:webHidden/>
              </w:rPr>
              <w:fldChar w:fldCharType="begin"/>
            </w:r>
            <w:r>
              <w:rPr>
                <w:noProof/>
                <w:webHidden/>
              </w:rPr>
              <w:instrText xml:space="preserve"> PAGEREF _Toc156724035 \h </w:instrText>
            </w:r>
            <w:r>
              <w:rPr>
                <w:noProof/>
                <w:webHidden/>
              </w:rPr>
            </w:r>
            <w:r>
              <w:rPr>
                <w:noProof/>
                <w:webHidden/>
              </w:rPr>
              <w:fldChar w:fldCharType="separate"/>
            </w:r>
            <w:r>
              <w:rPr>
                <w:noProof/>
                <w:webHidden/>
              </w:rPr>
              <w:t>10</w:t>
            </w:r>
            <w:r>
              <w:rPr>
                <w:noProof/>
                <w:webHidden/>
              </w:rPr>
              <w:fldChar w:fldCharType="end"/>
            </w:r>
          </w:hyperlink>
        </w:p>
        <w:p w14:paraId="1610B24D" w14:textId="48E63B7D"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36" w:history="1">
            <w:r w:rsidRPr="00985FE9">
              <w:rPr>
                <w:rStyle w:val="Hyperlink"/>
                <w:b/>
                <w:bCs/>
                <w:noProof/>
              </w:rPr>
              <w:t>Valgfag, herunder bonusfag og støttefag</w:t>
            </w:r>
            <w:r>
              <w:rPr>
                <w:noProof/>
                <w:webHidden/>
              </w:rPr>
              <w:tab/>
            </w:r>
            <w:r>
              <w:rPr>
                <w:noProof/>
                <w:webHidden/>
              </w:rPr>
              <w:fldChar w:fldCharType="begin"/>
            </w:r>
            <w:r>
              <w:rPr>
                <w:noProof/>
                <w:webHidden/>
              </w:rPr>
              <w:instrText xml:space="preserve"> PAGEREF _Toc156724036 \h </w:instrText>
            </w:r>
            <w:r>
              <w:rPr>
                <w:noProof/>
                <w:webHidden/>
              </w:rPr>
            </w:r>
            <w:r>
              <w:rPr>
                <w:noProof/>
                <w:webHidden/>
              </w:rPr>
              <w:fldChar w:fldCharType="separate"/>
            </w:r>
            <w:r>
              <w:rPr>
                <w:noProof/>
                <w:webHidden/>
              </w:rPr>
              <w:t>11</w:t>
            </w:r>
            <w:r>
              <w:rPr>
                <w:noProof/>
                <w:webHidden/>
              </w:rPr>
              <w:fldChar w:fldCharType="end"/>
            </w:r>
          </w:hyperlink>
        </w:p>
        <w:p w14:paraId="1994FD8E" w14:textId="5C0534A1" w:rsidR="00FE2BD0" w:rsidRDefault="00FE2BD0">
          <w:pPr>
            <w:pStyle w:val="Indholdsfortegnelse2"/>
            <w:tabs>
              <w:tab w:val="right" w:leader="dot" w:pos="13426"/>
            </w:tabs>
            <w:rPr>
              <w:rFonts w:eastAsiaTheme="minorEastAsia"/>
              <w:noProof/>
              <w:kern w:val="2"/>
              <w:lang w:eastAsia="da-DK"/>
              <w14:ligatures w14:val="standardContextual"/>
            </w:rPr>
          </w:pPr>
          <w:hyperlink w:anchor="_Toc156724037" w:history="1">
            <w:r w:rsidRPr="00985FE9">
              <w:rPr>
                <w:rStyle w:val="Hyperlink"/>
                <w:b/>
                <w:bCs/>
                <w:noProof/>
              </w:rPr>
              <w:t>Bedømmelse og eksamener USF</w:t>
            </w:r>
            <w:r>
              <w:rPr>
                <w:noProof/>
                <w:webHidden/>
              </w:rPr>
              <w:tab/>
            </w:r>
            <w:r>
              <w:rPr>
                <w:noProof/>
                <w:webHidden/>
              </w:rPr>
              <w:fldChar w:fldCharType="begin"/>
            </w:r>
            <w:r>
              <w:rPr>
                <w:noProof/>
                <w:webHidden/>
              </w:rPr>
              <w:instrText xml:space="preserve"> PAGEREF _Toc156724037 \h </w:instrText>
            </w:r>
            <w:r>
              <w:rPr>
                <w:noProof/>
                <w:webHidden/>
              </w:rPr>
            </w:r>
            <w:r>
              <w:rPr>
                <w:noProof/>
                <w:webHidden/>
              </w:rPr>
              <w:fldChar w:fldCharType="separate"/>
            </w:r>
            <w:r>
              <w:rPr>
                <w:noProof/>
                <w:webHidden/>
              </w:rPr>
              <w:t>12</w:t>
            </w:r>
            <w:r>
              <w:rPr>
                <w:noProof/>
                <w:webHidden/>
              </w:rPr>
              <w:fldChar w:fldCharType="end"/>
            </w:r>
          </w:hyperlink>
        </w:p>
        <w:p w14:paraId="03CFF24D" w14:textId="643DB35E"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38" w:history="1">
            <w:r w:rsidRPr="00985FE9">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_Toc156724038 \h </w:instrText>
            </w:r>
            <w:r>
              <w:rPr>
                <w:noProof/>
                <w:webHidden/>
              </w:rPr>
            </w:r>
            <w:r>
              <w:rPr>
                <w:noProof/>
                <w:webHidden/>
              </w:rPr>
              <w:fldChar w:fldCharType="separate"/>
            </w:r>
            <w:r>
              <w:rPr>
                <w:noProof/>
                <w:webHidden/>
              </w:rPr>
              <w:t>13</w:t>
            </w:r>
            <w:r>
              <w:rPr>
                <w:noProof/>
                <w:webHidden/>
              </w:rPr>
              <w:fldChar w:fldCharType="end"/>
            </w:r>
          </w:hyperlink>
        </w:p>
        <w:p w14:paraId="5B8F32E9" w14:textId="64837224" w:rsidR="00FE2BD0" w:rsidRDefault="00FE2BD0">
          <w:pPr>
            <w:pStyle w:val="Indholdsfortegnelse3"/>
            <w:tabs>
              <w:tab w:val="right" w:leader="dot" w:pos="13426"/>
            </w:tabs>
            <w:rPr>
              <w:rFonts w:eastAsiaTheme="minorEastAsia"/>
              <w:noProof/>
              <w:kern w:val="2"/>
              <w:lang w:eastAsia="da-DK"/>
              <w14:ligatures w14:val="standardContextual"/>
            </w:rPr>
          </w:pPr>
          <w:hyperlink w:anchor="_Toc156724039" w:history="1">
            <w:r w:rsidRPr="00985FE9">
              <w:rPr>
                <w:rStyle w:val="Hyperlink"/>
                <w:b/>
                <w:bCs/>
                <w:noProof/>
              </w:rPr>
              <w:t>Oversigt over bedømmelsesform</w:t>
            </w:r>
            <w:r>
              <w:rPr>
                <w:noProof/>
                <w:webHidden/>
              </w:rPr>
              <w:tab/>
            </w:r>
            <w:r>
              <w:rPr>
                <w:noProof/>
                <w:webHidden/>
              </w:rPr>
              <w:fldChar w:fldCharType="begin"/>
            </w:r>
            <w:r>
              <w:rPr>
                <w:noProof/>
                <w:webHidden/>
              </w:rPr>
              <w:instrText xml:space="preserve"> PAGEREF _Toc156724039 \h </w:instrText>
            </w:r>
            <w:r>
              <w:rPr>
                <w:noProof/>
                <w:webHidden/>
              </w:rPr>
            </w:r>
            <w:r>
              <w:rPr>
                <w:noProof/>
                <w:webHidden/>
              </w:rPr>
              <w:fldChar w:fldCharType="separate"/>
            </w:r>
            <w:r>
              <w:rPr>
                <w:noProof/>
                <w:webHidden/>
              </w:rPr>
              <w:t>13</w:t>
            </w:r>
            <w:r>
              <w:rPr>
                <w:noProof/>
                <w:webHidden/>
              </w:rPr>
              <w:fldChar w:fldCharType="end"/>
            </w:r>
          </w:hyperlink>
        </w:p>
        <w:p w14:paraId="1FA104AA" w14:textId="472C2563" w:rsidR="00FE2BD0" w:rsidRDefault="00FE2BD0">
          <w:pPr>
            <w:pStyle w:val="Indholdsfortegnelse1"/>
            <w:tabs>
              <w:tab w:val="right" w:leader="dot" w:pos="13426"/>
            </w:tabs>
            <w:rPr>
              <w:rFonts w:eastAsiaTheme="minorEastAsia"/>
              <w:noProof/>
              <w:kern w:val="2"/>
              <w:lang w:eastAsia="da-DK"/>
              <w14:ligatures w14:val="standardContextual"/>
            </w:rPr>
          </w:pPr>
          <w:hyperlink w:anchor="_Toc156724040" w:history="1">
            <w:r w:rsidRPr="00985FE9">
              <w:rPr>
                <w:rStyle w:val="Hyperlink"/>
                <w:b/>
                <w:bCs/>
                <w:noProof/>
              </w:rPr>
              <w:t>Afsluttende grundforløbsprøve GF2</w:t>
            </w:r>
            <w:r>
              <w:rPr>
                <w:noProof/>
                <w:webHidden/>
              </w:rPr>
              <w:tab/>
            </w:r>
            <w:r>
              <w:rPr>
                <w:noProof/>
                <w:webHidden/>
              </w:rPr>
              <w:fldChar w:fldCharType="begin"/>
            </w:r>
            <w:r>
              <w:rPr>
                <w:noProof/>
                <w:webHidden/>
              </w:rPr>
              <w:instrText xml:space="preserve"> PAGEREF _Toc156724040 \h </w:instrText>
            </w:r>
            <w:r>
              <w:rPr>
                <w:noProof/>
                <w:webHidden/>
              </w:rPr>
            </w:r>
            <w:r>
              <w:rPr>
                <w:noProof/>
                <w:webHidden/>
              </w:rPr>
              <w:fldChar w:fldCharType="separate"/>
            </w:r>
            <w:r>
              <w:rPr>
                <w:noProof/>
                <w:webHidden/>
              </w:rPr>
              <w:t>14</w:t>
            </w:r>
            <w:r>
              <w:rPr>
                <w:noProof/>
                <w:webHidden/>
              </w:rPr>
              <w:fldChar w:fldCharType="end"/>
            </w:r>
          </w:hyperlink>
        </w:p>
        <w:p w14:paraId="55FDD442" w14:textId="7F3CB66F"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4022"/>
      <w:r w:rsidRPr="00371C1F">
        <w:rPr>
          <w:b/>
          <w:bCs/>
        </w:rPr>
        <w:lastRenderedPageBreak/>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4023"/>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4024"/>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4025"/>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4026"/>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4027"/>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6D61D7A2"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 xml:space="preserve">grundforløbene til </w:t>
      </w:r>
      <w:r w:rsidR="0066449D">
        <w:rPr>
          <w:rFonts w:ascii="Arial" w:hAnsi="Arial" w:cs="Arial"/>
          <w:b/>
          <w:bCs/>
          <w:sz w:val="24"/>
          <w:szCs w:val="24"/>
        </w:rPr>
        <w:t>personvognsmekaniker</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4028"/>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4029"/>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4030"/>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04BA2015" w14:textId="55129F0D" w:rsidR="00DB1DEF" w:rsidRDefault="00FE2BD0" w:rsidP="00EE6EC9">
            <w:hyperlink r:id="rId12" w:history="1">
              <w:r w:rsidR="004A616A" w:rsidRPr="00011C0F">
                <w:rPr>
                  <w:rStyle w:val="Hyperlink"/>
                </w:rPr>
                <w:t>https://www.retsinformation.dk/eli/lta/2022/674</w:t>
              </w:r>
            </w:hyperlink>
          </w:p>
          <w:p w14:paraId="3CE73AC3" w14:textId="77777777" w:rsidR="004A616A" w:rsidRDefault="004A616A" w:rsidP="00EE6EC9">
            <w:pPr>
              <w:rPr>
                <w:rFonts w:ascii="Arial" w:hAnsi="Arial" w:cs="Arial"/>
                <w:sz w:val="24"/>
                <w:szCs w:val="24"/>
              </w:rPr>
            </w:pPr>
          </w:p>
          <w:p w14:paraId="3C9BA1A1" w14:textId="77777777" w:rsidR="007849B3" w:rsidRDefault="007849B3" w:rsidP="00EE6EC9">
            <w:pPr>
              <w:rPr>
                <w:rFonts w:ascii="Arial" w:hAnsi="Arial" w:cs="Arial"/>
                <w:sz w:val="24"/>
                <w:szCs w:val="24"/>
              </w:rPr>
            </w:pPr>
            <w:r>
              <w:rPr>
                <w:rFonts w:ascii="Arial" w:hAnsi="Arial" w:cs="Arial"/>
                <w:sz w:val="24"/>
                <w:szCs w:val="24"/>
              </w:rPr>
              <w:t>Uddannelsesordning</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FE2BD0"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4D7B75F7" w14:textId="77777777" w:rsidR="0003414F" w:rsidRDefault="00DD03EC" w:rsidP="0003414F">
            <w:pPr>
              <w:pStyle w:val="paragraf"/>
              <w:shd w:val="clear" w:color="auto" w:fill="F9F9FB"/>
              <w:spacing w:before="200" w:beforeAutospacing="0" w:after="0" w:afterAutospacing="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03414F">
              <w:rPr>
                <w:rFonts w:ascii="Questa-Regular" w:hAnsi="Questa-Regular"/>
                <w:color w:val="212529"/>
                <w:sz w:val="23"/>
                <w:szCs w:val="23"/>
              </w:rPr>
              <w:t>For at kunne blive optaget til skoleundervisningen i hovedforløbet skal eleven eller lærlingen opfylde betingelserne i stk. 2-5.</w:t>
            </w:r>
          </w:p>
          <w:p w14:paraId="14695B21"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kompetence til med præstationsstandarden begynderniveau at kunne</w:t>
            </w:r>
          </w:p>
          <w:p w14:paraId="28D9AC4C"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udføre mekanisk adskillelse og samling af motorer, ventilreparation på topstykket, samt udtage eventuelt knækkede skruer og bolte og reparere ødelagte gevind,</w:t>
            </w:r>
          </w:p>
          <w:p w14:paraId="41B3B90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udføre mekanisk adskillelse og samling af styretøj og bremser,</w:t>
            </w:r>
          </w:p>
          <w:p w14:paraId="26CD033A"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udføre fejlfinding og af- og </w:t>
            </w:r>
            <w:proofErr w:type="spellStart"/>
            <w:r>
              <w:rPr>
                <w:rFonts w:ascii="Questa-Regular" w:hAnsi="Questa-Regular"/>
                <w:color w:val="212529"/>
                <w:sz w:val="23"/>
                <w:szCs w:val="23"/>
              </w:rPr>
              <w:t>påmonteringsopgaver</w:t>
            </w:r>
            <w:proofErr w:type="spellEnd"/>
            <w:r>
              <w:rPr>
                <w:rFonts w:ascii="Questa-Regular" w:hAnsi="Questa-Regular"/>
                <w:color w:val="212529"/>
                <w:sz w:val="23"/>
                <w:szCs w:val="23"/>
              </w:rPr>
              <w:t xml:space="preserve"> på bilers elektriske, elektroniske og mekaniske systemer under vejledning,</w:t>
            </w:r>
          </w:p>
          <w:p w14:paraId="220193D3"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udføre målinger på elektriske kredsløb med udgangspunkt i læsning af basale el-diagrammer, herunder spændingsmåling, strømmåling og måling af modstand under anvendelse af multimeter,</w:t>
            </w:r>
          </w:p>
          <w:p w14:paraId="3190D1A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håndtere benzin/diesel, olie og andre gængse kemikalier korrekt i forbindelse med arbejdsopgaver på værkstedet,</w:t>
            </w:r>
          </w:p>
          <w:p w14:paraId="1BC6EE6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anvende grundlæggende matematiske metoder inden for emnerne geometri, funktioner, grafer og statistik,</w:t>
            </w:r>
          </w:p>
          <w:p w14:paraId="39B3870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udføre en hensigtsmæssig mundtlig og skriftlig kommunikation med medarbejdere, leverandører og kunder,</w:t>
            </w:r>
          </w:p>
          <w:p w14:paraId="3750138D"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anvende IT til dokumentation, kommunikation og faglig informationssøgning,</w:t>
            </w:r>
          </w:p>
          <w:p w14:paraId="160AD34E"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genkende de almindeligste styresystemer og digitale brugerflader i bilerne og anvende dem under vejledning,</w:t>
            </w:r>
          </w:p>
          <w:p w14:paraId="38590AF6"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vurdere, planlægge og udføre enkle arbejdsopgaver ergonomisk korrekt,</w:t>
            </w:r>
          </w:p>
          <w:p w14:paraId="4B065EFA"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11)</w:t>
            </w:r>
            <w:r>
              <w:rPr>
                <w:rFonts w:ascii="Questa-Regular" w:hAnsi="Questa-Regular"/>
                <w:color w:val="212529"/>
                <w:sz w:val="23"/>
                <w:szCs w:val="23"/>
              </w:rPr>
              <w:t> redegøre for kvalitetskrav og metoder til at tilgodese egen og andres sikkerhed ved udførelse af arbejdet,</w:t>
            </w:r>
          </w:p>
          <w:p w14:paraId="4E766DF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12)</w:t>
            </w:r>
            <w:r>
              <w:rPr>
                <w:rFonts w:ascii="Questa-Regular" w:hAnsi="Questa-Regular"/>
                <w:color w:val="212529"/>
                <w:sz w:val="23"/>
                <w:szCs w:val="23"/>
              </w:rPr>
              <w:t> redegøre for diesel- og benzinmotorers opbygning og virkemåde, herunder de fire takter,</w:t>
            </w:r>
          </w:p>
          <w:p w14:paraId="3065921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13)</w:t>
            </w:r>
            <w:r>
              <w:rPr>
                <w:rFonts w:ascii="Questa-Regular" w:hAnsi="Questa-Regular"/>
                <w:color w:val="212529"/>
                <w:sz w:val="23"/>
                <w:szCs w:val="23"/>
              </w:rPr>
              <w:t> redegøre for bremser og styretøjs opbygning og virkemåde på biler,</w:t>
            </w:r>
          </w:p>
          <w:p w14:paraId="43A1814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14)</w:t>
            </w:r>
            <w:r>
              <w:rPr>
                <w:rFonts w:ascii="Questa-Regular" w:hAnsi="Questa-Regular"/>
                <w:color w:val="212529"/>
                <w:sz w:val="23"/>
                <w:szCs w:val="23"/>
              </w:rPr>
              <w:t> redegøre for basale elektriske grundbegreber, herunder AC/DC-spænding, strøm, modstand, effekt, frekvens, Ohms lov og effektformlen,</w:t>
            </w:r>
          </w:p>
          <w:p w14:paraId="25E83D6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15)</w:t>
            </w:r>
            <w:r>
              <w:rPr>
                <w:rFonts w:ascii="Questa-Regular" w:hAnsi="Questa-Regular"/>
                <w:color w:val="212529"/>
                <w:sz w:val="23"/>
                <w:szCs w:val="23"/>
              </w:rPr>
              <w:t> redegøre for valg af relevant mekanisk måleudstyr, håndværktøj, forskellige gevindtyper og løftegrej,</w:t>
            </w:r>
          </w:p>
          <w:p w14:paraId="598796DE"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16)</w:t>
            </w:r>
            <w:r>
              <w:rPr>
                <w:rFonts w:ascii="Questa-Regular" w:hAnsi="Questa-Regular"/>
                <w:color w:val="212529"/>
                <w:sz w:val="23"/>
                <w:szCs w:val="23"/>
              </w:rPr>
              <w:t> udføre en korrekt sikkerhedsfrakobling af køretøjets højspændingsdel under vejledning,</w:t>
            </w:r>
          </w:p>
          <w:p w14:paraId="41B39A5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17)</w:t>
            </w:r>
            <w:r>
              <w:rPr>
                <w:rFonts w:ascii="Questa-Regular" w:hAnsi="Questa-Regular"/>
                <w:color w:val="212529"/>
                <w:sz w:val="23"/>
                <w:szCs w:val="23"/>
              </w:rPr>
              <w:t xml:space="preserve"> udføre beregninger af spænding, effekt, frekvens, tryk og volumen i forbindelse med fagelementer som styretøjsvinkler, bremsetryk, bremselængde, cylindervolumen og </w:t>
            </w:r>
            <w:proofErr w:type="spellStart"/>
            <w:r>
              <w:rPr>
                <w:rFonts w:ascii="Questa-Regular" w:hAnsi="Questa-Regular"/>
                <w:color w:val="212529"/>
                <w:sz w:val="23"/>
                <w:szCs w:val="23"/>
              </w:rPr>
              <w:t>omsættelse</w:t>
            </w:r>
            <w:proofErr w:type="spellEnd"/>
            <w:r>
              <w:rPr>
                <w:rFonts w:ascii="Questa-Regular" w:hAnsi="Questa-Regular"/>
                <w:color w:val="212529"/>
                <w:sz w:val="23"/>
                <w:szCs w:val="23"/>
              </w:rPr>
              <w:t xml:space="preserve"> af Ohms lov på elektriske systemer i køretøjer,</w:t>
            </w:r>
          </w:p>
          <w:p w14:paraId="2233DCD6"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18)</w:t>
            </w:r>
            <w:r>
              <w:rPr>
                <w:rFonts w:ascii="Questa-Regular" w:hAnsi="Questa-Regular"/>
                <w:color w:val="212529"/>
                <w:sz w:val="23"/>
                <w:szCs w:val="23"/>
              </w:rPr>
              <w:t> redegøre for enkle elektriske komponenter og kredsløb, herunder modstande, kondensatorer, spoler, dioder, transistorer eller lysdioder samt serie- og parallelkredsløb, ensretterkredsløb og digitale kredsløb,</w:t>
            </w:r>
          </w:p>
          <w:p w14:paraId="3AABB53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19)</w:t>
            </w:r>
            <w:r>
              <w:rPr>
                <w:rFonts w:ascii="Questa-Regular" w:hAnsi="Questa-Regular"/>
                <w:color w:val="212529"/>
                <w:sz w:val="23"/>
                <w:szCs w:val="23"/>
              </w:rPr>
              <w:t> redegøre for naturfaglige og miljømæssige aspekter i forbindelse med den teknologiske udvikling af køretøjer, herunder viden om el/</w:t>
            </w:r>
            <w:proofErr w:type="gramStart"/>
            <w:r>
              <w:rPr>
                <w:rFonts w:ascii="Questa-Regular" w:hAnsi="Questa-Regular"/>
                <w:color w:val="212529"/>
                <w:sz w:val="23"/>
                <w:szCs w:val="23"/>
              </w:rPr>
              <w:t>hybrid</w:t>
            </w:r>
            <w:proofErr w:type="gramEnd"/>
            <w:r>
              <w:rPr>
                <w:rFonts w:ascii="Questa-Regular" w:hAnsi="Questa-Regular"/>
                <w:color w:val="212529"/>
                <w:sz w:val="23"/>
                <w:szCs w:val="23"/>
              </w:rPr>
              <w:t xml:space="preserve"> køretøjer og</w:t>
            </w:r>
          </w:p>
          <w:p w14:paraId="6852DC29"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20)</w:t>
            </w:r>
            <w:r>
              <w:rPr>
                <w:rFonts w:ascii="Questa-Regular" w:hAnsi="Questa-Regular"/>
                <w:color w:val="212529"/>
                <w:sz w:val="23"/>
                <w:szCs w:val="23"/>
              </w:rPr>
              <w:t> redegøre for værdien af løbende dokumentation, evaluering og formidling af egne arbejdsprocesser, metoder og resultater.</w:t>
            </w:r>
          </w:p>
          <w:p w14:paraId="4DD4F60C"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kompetence til med præstationsstandarden rutineret niveau at kunne</w:t>
            </w:r>
          </w:p>
          <w:p w14:paraId="7DF00C7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selvstændigt planlægge enkle arbejdsopgaver</w:t>
            </w:r>
          </w:p>
          <w:p w14:paraId="7D1A1BF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selvstændigt udføre enkle justerings- og reparationsopgaver på biler og</w:t>
            </w:r>
          </w:p>
          <w:p w14:paraId="6DAFFFE3"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tage ansvar for opgaveløsning i samarbejde med andre.</w:t>
            </w:r>
          </w:p>
          <w:p w14:paraId="13F89EFA"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Eleven eller lærlingen skal have gennemført følgende grundfag på følgende niveau og med følgende karakter:</w:t>
            </w:r>
          </w:p>
          <w:p w14:paraId="43F7ABDF"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0F8955B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Matematik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22A92C5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Engelsk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4F15B7B4"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xml:space="preserve"> Fysik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0F35488A"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Eleven eller lærlingen skal have opnået følgende certifikater eller lignende:</w:t>
            </w:r>
          </w:p>
          <w:p w14:paraId="0A2C88F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”Personlig sikkerhed ved arbejde med epoxy og </w:t>
            </w:r>
            <w:proofErr w:type="spellStart"/>
            <w:r>
              <w:rPr>
                <w:rFonts w:ascii="Questa-Regular" w:hAnsi="Questa-Regular"/>
                <w:color w:val="212529"/>
                <w:sz w:val="23"/>
                <w:szCs w:val="23"/>
              </w:rPr>
              <w:t>isocyanater</w:t>
            </w:r>
            <w:proofErr w:type="spellEnd"/>
            <w:r>
              <w:rPr>
                <w:rFonts w:ascii="Questa-Regular" w:hAnsi="Questa-Regular"/>
                <w:color w:val="212529"/>
                <w:sz w:val="23"/>
                <w:szCs w:val="23"/>
              </w:rPr>
              <w:t>”, jf. Arbejdstilsynets retningslinjer.</w:t>
            </w:r>
          </w:p>
          <w:p w14:paraId="698E188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”Arbejdsmiljø og sikkerhed, svejsning og termisk skæring”, jf. Arbejdstilsynets regler.</w:t>
            </w:r>
          </w:p>
          <w:p w14:paraId="0B4F0B59"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”Førstehjælp på erhvervsuddannelser, inkl. færdselsrelateret førstehjælp” efter Dansk Førstehjælpsråds uddannelsesplaner pr. oktober 2020.</w:t>
            </w:r>
          </w:p>
          <w:p w14:paraId="7272F9D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Kompetencer svarende til elementær brandbekæmpelse efter Dansk Brand- og sikringsteknisk Instituts retningslinjer pr. 1. september 2014.</w:t>
            </w:r>
          </w:p>
          <w:p w14:paraId="3FE6D8BD"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Elever eller lærlinge, der har gennemført grundforløbet til erhvervsuddannelsen til personvognsmekaniker, har adgang til hovedforløbet på erhvervsuddannelsen til lastvognsmekaniker.</w:t>
            </w:r>
          </w:p>
          <w:p w14:paraId="1615906C"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For at kunne blive optaget til skoleundervisningen i eux-hovedforløbet skal eleven eller lærlingen ud over kravene i stk. 2-5 have gennemført følgende grundfag:</w:t>
            </w:r>
          </w:p>
          <w:p w14:paraId="545236D5"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Dansk på C-niveau.</w:t>
            </w:r>
          </w:p>
          <w:p w14:paraId="710E5AAC"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Engelsk på C-niveau.</w:t>
            </w:r>
          </w:p>
          <w:p w14:paraId="4EB97BC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Samfundsfag på C-niveau.</w:t>
            </w:r>
          </w:p>
          <w:p w14:paraId="3CCDA44F"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Matematik på C-niveau.</w:t>
            </w:r>
          </w:p>
          <w:p w14:paraId="38253494"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Fysik på C-niveau.</w:t>
            </w:r>
          </w:p>
          <w:p w14:paraId="065EEF5B"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Teknologi på C-niveau.</w:t>
            </w:r>
          </w:p>
          <w:p w14:paraId="03112485"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8.</w:t>
            </w:r>
            <w:r>
              <w:rPr>
                <w:rFonts w:ascii="Questa-Regular" w:hAnsi="Questa-Regular"/>
                <w:color w:val="212529"/>
                <w:sz w:val="23"/>
                <w:szCs w:val="23"/>
              </w:rPr>
              <w:t> For elever eller lærlinge, der opnår de i stk. 7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43B2A71B"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9.</w:t>
            </w:r>
            <w:r>
              <w:rPr>
                <w:rFonts w:ascii="Questa-Regular" w:hAnsi="Questa-Regular"/>
                <w:color w:val="212529"/>
                <w:sz w:val="23"/>
                <w:szCs w:val="23"/>
              </w:rPr>
              <w:t> Er der i stk. 4 fastsat karakterkrav for et eller flere fag, gælder disse krav tilsvarende for eux-elever eller lærlinge på det niveau af grundfaget, som eleven eller lærlingen skal have for at kunne påbegynde skoleundervisningen i hovedforløbet, jf. stk. 7, uanset en eventuel forskel mellem de pågældende niveauer.</w:t>
            </w:r>
          </w:p>
          <w:p w14:paraId="59D90370" w14:textId="37C197C5"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48EF5D" w14:textId="77777777" w:rsidR="00565F1C" w:rsidRDefault="00565F1C" w:rsidP="00004FBE">
      <w:pPr>
        <w:rPr>
          <w:rFonts w:ascii="Arial" w:hAnsi="Arial" w:cs="Arial"/>
          <w:sz w:val="24"/>
          <w:szCs w:val="24"/>
        </w:rPr>
      </w:pPr>
    </w:p>
    <w:p w14:paraId="489E862B" w14:textId="77777777" w:rsidR="00565F1C" w:rsidRDefault="00565F1C" w:rsidP="00004FBE">
      <w:pPr>
        <w:rPr>
          <w:rFonts w:ascii="Arial" w:hAnsi="Arial" w:cs="Arial"/>
          <w:sz w:val="24"/>
          <w:szCs w:val="24"/>
        </w:rPr>
      </w:pPr>
    </w:p>
    <w:p w14:paraId="56266FD9" w14:textId="77777777" w:rsidR="00565F1C" w:rsidRDefault="00565F1C"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400436D9" w14:textId="75897F2F" w:rsidR="00F66C0D" w:rsidRPr="00525BB8" w:rsidRDefault="00F66C0D" w:rsidP="008C278F">
      <w:pPr>
        <w:pStyle w:val="Overskrift1"/>
        <w:rPr>
          <w:b/>
          <w:bCs/>
        </w:rPr>
      </w:pPr>
      <w:bookmarkStart w:id="9" w:name="_Toc156724031"/>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72EF0260" w14:textId="77777777" w:rsidR="00C426E2" w:rsidRPr="00701A50" w:rsidRDefault="00C426E2" w:rsidP="00C426E2">
      <w:pPr>
        <w:pStyle w:val="Overskrift2"/>
        <w:rPr>
          <w:b/>
          <w:bCs/>
        </w:rPr>
      </w:pPr>
      <w:bookmarkStart w:id="10" w:name="_Toc156724032"/>
      <w:r w:rsidRPr="00701A50">
        <w:rPr>
          <w:b/>
          <w:bCs/>
        </w:rPr>
        <w:t>Fysik</w:t>
      </w:r>
      <w:bookmarkEnd w:id="10"/>
    </w:p>
    <w:p w14:paraId="563B1030" w14:textId="77777777" w:rsidR="00C426E2" w:rsidRDefault="00C426E2" w:rsidP="00C426E2">
      <w:pPr>
        <w:spacing w:after="0"/>
        <w:rPr>
          <w:rFonts w:ascii="Arial" w:hAnsi="Arial" w:cs="Arial"/>
          <w:color w:val="000000" w:themeColor="text1"/>
          <w:sz w:val="24"/>
          <w:szCs w:val="24"/>
          <w:u w:val="single"/>
        </w:rPr>
      </w:pPr>
    </w:p>
    <w:p w14:paraId="32E8F042" w14:textId="77777777" w:rsidR="00C426E2" w:rsidRDefault="00C426E2" w:rsidP="00C426E2">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2D55E04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5288F40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6B05B4C2" w14:textId="77777777" w:rsidR="00C426E2"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F473FB" w14:textId="77777777" w:rsidR="00C426E2" w:rsidRDefault="00C426E2" w:rsidP="00C426E2">
      <w:pPr>
        <w:spacing w:after="0"/>
        <w:rPr>
          <w:rFonts w:ascii="Arial" w:hAnsi="Arial" w:cs="Arial"/>
          <w:color w:val="000000" w:themeColor="text1"/>
          <w:sz w:val="24"/>
          <w:szCs w:val="24"/>
        </w:rPr>
      </w:pPr>
    </w:p>
    <w:p w14:paraId="4874903D" w14:textId="77777777" w:rsidR="009C562B" w:rsidRDefault="009C562B" w:rsidP="00C426E2">
      <w:pPr>
        <w:spacing w:after="0"/>
        <w:rPr>
          <w:rFonts w:ascii="Arial" w:hAnsi="Arial" w:cs="Arial"/>
          <w:color w:val="000000" w:themeColor="text1"/>
          <w:sz w:val="24"/>
          <w:szCs w:val="24"/>
        </w:rPr>
      </w:pPr>
    </w:p>
    <w:p w14:paraId="1A170AB5" w14:textId="77777777" w:rsidR="009C562B" w:rsidRDefault="009C562B" w:rsidP="00C426E2">
      <w:pPr>
        <w:spacing w:after="0"/>
        <w:rPr>
          <w:rFonts w:ascii="Arial" w:hAnsi="Arial" w:cs="Arial"/>
          <w:color w:val="000000" w:themeColor="text1"/>
          <w:sz w:val="24"/>
          <w:szCs w:val="24"/>
        </w:rPr>
      </w:pPr>
    </w:p>
    <w:p w14:paraId="4112479D" w14:textId="3ACE5EC9" w:rsidR="00C426E2"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75522D4B" w14:textId="77777777" w:rsidR="00C426E2" w:rsidRPr="00193B59" w:rsidRDefault="00C426E2" w:rsidP="00C426E2">
      <w:pPr>
        <w:spacing w:after="0"/>
        <w:rPr>
          <w:rFonts w:ascii="Arial" w:hAnsi="Arial" w:cs="Arial"/>
          <w:color w:val="000000" w:themeColor="text1"/>
          <w:sz w:val="24"/>
          <w:szCs w:val="24"/>
        </w:rPr>
      </w:pPr>
    </w:p>
    <w:p w14:paraId="6CA09F96"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69173BBF"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3B5BEAC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610C4B2" w14:textId="5775702A" w:rsidR="00C426E2" w:rsidRPr="00193B59" w:rsidRDefault="00C426E2" w:rsidP="002C6EE0">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w:t>
      </w:r>
    </w:p>
    <w:p w14:paraId="0668D699"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7439179F" w14:textId="5F093368"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4D4C25E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56BB32"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03587AC8"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46B09D1"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33BBB6AA" w14:textId="409CBC0C" w:rsidR="00C426E2" w:rsidRPr="006C718A" w:rsidRDefault="00C426E2" w:rsidP="00C426E2">
      <w:pPr>
        <w:spacing w:after="0"/>
        <w:rPr>
          <w:rFonts w:ascii="Arial" w:hAnsi="Arial" w:cs="Arial"/>
          <w:color w:val="000000" w:themeColor="text1"/>
          <w:sz w:val="24"/>
          <w:szCs w:val="24"/>
        </w:rPr>
      </w:pPr>
    </w:p>
    <w:p w14:paraId="435B61A3" w14:textId="77777777" w:rsidR="00C426E2" w:rsidRDefault="00C426E2" w:rsidP="00C426E2">
      <w:pPr>
        <w:spacing w:after="0"/>
        <w:rPr>
          <w:rFonts w:ascii="Arial" w:hAnsi="Arial" w:cs="Arial"/>
          <w:b/>
          <w:bCs/>
          <w:color w:val="000000" w:themeColor="text1"/>
          <w:sz w:val="24"/>
          <w:szCs w:val="24"/>
        </w:rPr>
      </w:pPr>
    </w:p>
    <w:p w14:paraId="23BD87CD" w14:textId="77777777" w:rsidR="00C426E2" w:rsidRDefault="00C426E2" w:rsidP="00C426E2">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390F984B" w14:textId="77777777" w:rsidR="00C426E2" w:rsidRDefault="00C426E2" w:rsidP="00C426E2">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26524067" w14:textId="77777777" w:rsidR="00C426E2" w:rsidRDefault="00C426E2" w:rsidP="00C426E2">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3C7D6A03" w14:textId="77777777" w:rsidR="00C426E2" w:rsidRPr="0069025F" w:rsidRDefault="00C426E2" w:rsidP="00C426E2">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520FBB">
      <w:pPr>
        <w:pStyle w:val="Overskrift2"/>
        <w:rPr>
          <w:b/>
          <w:bCs/>
        </w:rPr>
      </w:pPr>
      <w:bookmarkStart w:id="11" w:name="_Toc156724033"/>
      <w:r w:rsidRPr="00C30C74">
        <w:rPr>
          <w:b/>
          <w:bCs/>
        </w:rPr>
        <w:t>Dansk</w:t>
      </w:r>
      <w:r w:rsidR="007949D8">
        <w:rPr>
          <w:b/>
          <w:bCs/>
        </w:rPr>
        <w:t xml:space="preserve"> og engelsk</w:t>
      </w:r>
      <w:bookmarkEnd w:id="11"/>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2" w:name="_Toc156724034"/>
      <w:r w:rsidRPr="00701A50">
        <w:rPr>
          <w:b/>
          <w:bCs/>
        </w:rPr>
        <w:t>Matematik</w:t>
      </w:r>
      <w:bookmarkEnd w:id="12"/>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24ACFCBE" w14:textId="77777777" w:rsidR="00743FFC"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724035"/>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6524FF03"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w:t>
      </w:r>
      <w:r w:rsidR="0009636F">
        <w:rPr>
          <w:rFonts w:ascii="Arial" w:hAnsi="Arial" w:cs="Arial"/>
          <w:sz w:val="24"/>
          <w:szCs w:val="24"/>
        </w:rPr>
        <w:t xml:space="preserve">mekanikeruddannelserne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68798766" w:rsidR="00EC2DE1" w:rsidRPr="00303B5F" w:rsidRDefault="00EC2DE1" w:rsidP="00303B5F">
      <w:pPr>
        <w:contextualSpacing/>
        <w:rPr>
          <w:b/>
          <w:bCs/>
        </w:rPr>
      </w:pPr>
      <w:r w:rsidRPr="00303B5F">
        <w:rPr>
          <w:b/>
          <w:bCs/>
        </w:rPr>
        <w:t>Epoxy-kursus</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604839ED" w14:textId="77777777" w:rsidR="008E13A1" w:rsidRPr="00303B5F" w:rsidRDefault="008E13A1" w:rsidP="00303B5F">
      <w:pPr>
        <w:contextualSpacing/>
        <w:rPr>
          <w:b/>
          <w:bCs/>
        </w:rPr>
      </w:pPr>
    </w:p>
    <w:p w14:paraId="1761EBE1" w14:textId="77777777" w:rsidR="00775E8B" w:rsidRPr="00C73EDE" w:rsidRDefault="00775E8B" w:rsidP="00775E8B">
      <w:pPr>
        <w:spacing w:after="0" w:line="276" w:lineRule="auto"/>
      </w:pPr>
    </w:p>
    <w:p w14:paraId="4A9B083A" w14:textId="697AE7AE" w:rsidR="0029507A" w:rsidRPr="000B344E" w:rsidRDefault="0029507A" w:rsidP="008C278F">
      <w:pPr>
        <w:pStyle w:val="Overskrift1"/>
        <w:rPr>
          <w:b/>
          <w:bCs/>
        </w:rPr>
      </w:pPr>
      <w:bookmarkStart w:id="14" w:name="_Toc156724036"/>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4D3BA277"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w:t>
      </w:r>
      <w:r w:rsidR="00EC0772">
        <w:rPr>
          <w:rFonts w:ascii="Arial" w:hAnsi="Arial" w:cs="Arial"/>
          <w:sz w:val="24"/>
          <w:szCs w:val="24"/>
        </w:rPr>
        <w:t xml:space="preserve"> og normer</w:t>
      </w:r>
      <w:r w:rsidRPr="00D71B4A">
        <w:rPr>
          <w:rFonts w:ascii="Arial" w:hAnsi="Arial" w:cs="Arial"/>
          <w:sz w:val="24"/>
          <w:szCs w:val="24"/>
        </w:rPr>
        <w:t xml:space="preserve"> der er på området</w:t>
      </w:r>
      <w:r w:rsidR="00EC0772">
        <w:rPr>
          <w:rFonts w:ascii="Arial" w:hAnsi="Arial" w:cs="Arial"/>
          <w:sz w:val="24"/>
          <w:szCs w:val="24"/>
        </w:rPr>
        <w:t>.</w:t>
      </w:r>
    </w:p>
    <w:p w14:paraId="75D1E417" w14:textId="77777777" w:rsidR="00EC0772" w:rsidRDefault="00EC0772" w:rsidP="00D71B4A">
      <w:pPr>
        <w:spacing w:after="0"/>
        <w:rPr>
          <w:rFonts w:ascii="Arial" w:hAnsi="Arial" w:cs="Arial"/>
          <w:sz w:val="24"/>
          <w:szCs w:val="24"/>
        </w:rPr>
      </w:pPr>
    </w:p>
    <w:p w14:paraId="4F6E1DCE" w14:textId="77777777" w:rsidR="00EC0772" w:rsidRDefault="00EC0772" w:rsidP="00EC0772">
      <w:pPr>
        <w:rPr>
          <w:rFonts w:ascii="Arial" w:hAnsi="Arial" w:cs="Arial"/>
          <w:sz w:val="24"/>
          <w:szCs w:val="24"/>
        </w:rPr>
      </w:pPr>
      <w:r w:rsidRPr="00D826AD">
        <w:rPr>
          <w:rFonts w:ascii="Arial" w:hAnsi="Arial" w:cs="Arial"/>
          <w:sz w:val="24"/>
          <w:szCs w:val="24"/>
        </w:rPr>
        <w:t>F</w:t>
      </w:r>
      <w:r>
        <w:rPr>
          <w:rFonts w:ascii="Arial" w:hAnsi="Arial" w:cs="Arial"/>
          <w:sz w:val="24"/>
          <w:szCs w:val="24"/>
        </w:rPr>
        <w:t>or at opfylde ovenstående læringsmål, opdeles undervisningen i forskellige temaer som angivet herunder:</w:t>
      </w:r>
    </w:p>
    <w:p w14:paraId="69A4CEE1" w14:textId="77777777" w:rsidR="0096092F" w:rsidRPr="002C3C74" w:rsidRDefault="0096092F" w:rsidP="0096092F">
      <w:pPr>
        <w:spacing w:line="276" w:lineRule="auto"/>
        <w:rPr>
          <w:color w:val="00B050"/>
        </w:rPr>
      </w:pPr>
      <w:r w:rsidRPr="002C3C74">
        <w:rPr>
          <w:color w:val="00B050"/>
        </w:rPr>
        <w:t>Obligatorisk forløb for grundforløb til personvogns-mekaniker. Varigheden er 20 uger i langt de fleste tilfælde. (Særlige regler for voksne)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2268"/>
        <w:gridCol w:w="2444"/>
        <w:gridCol w:w="1886"/>
      </w:tblGrid>
      <w:tr w:rsidR="0096092F" w:rsidRPr="002C3C74" w14:paraId="171B3FB1" w14:textId="77777777" w:rsidTr="00CC76C7">
        <w:tc>
          <w:tcPr>
            <w:tcW w:w="1413" w:type="dxa"/>
          </w:tcPr>
          <w:p w14:paraId="72A172D0" w14:textId="77777777" w:rsidR="0096092F" w:rsidRPr="002C3C74" w:rsidRDefault="0096092F" w:rsidP="00CC76C7">
            <w:pPr>
              <w:spacing w:line="276" w:lineRule="auto"/>
              <w:rPr>
                <w:color w:val="00B050"/>
              </w:rPr>
            </w:pPr>
            <w:r w:rsidRPr="002C3C74">
              <w:rPr>
                <w:color w:val="00B050"/>
              </w:rPr>
              <w:t>Kompetence vurdering</w:t>
            </w:r>
          </w:p>
          <w:p w14:paraId="36BE970A" w14:textId="77777777" w:rsidR="0096092F" w:rsidRPr="002C3C74" w:rsidRDefault="0096092F" w:rsidP="00CC76C7">
            <w:pPr>
              <w:spacing w:line="276" w:lineRule="auto"/>
              <w:rPr>
                <w:color w:val="00B050"/>
              </w:rPr>
            </w:pPr>
            <w:r w:rsidRPr="002C3C74">
              <w:rPr>
                <w:color w:val="00B050"/>
              </w:rPr>
              <w:t>2 uger</w:t>
            </w:r>
          </w:p>
        </w:tc>
        <w:tc>
          <w:tcPr>
            <w:tcW w:w="1843" w:type="dxa"/>
          </w:tcPr>
          <w:p w14:paraId="48B52FAD" w14:textId="77777777" w:rsidR="0096092F" w:rsidRPr="002C3C74" w:rsidRDefault="0096092F" w:rsidP="00CC76C7">
            <w:pPr>
              <w:spacing w:line="276" w:lineRule="auto"/>
              <w:rPr>
                <w:color w:val="00B050"/>
              </w:rPr>
            </w:pPr>
            <w:r w:rsidRPr="002C3C74">
              <w:rPr>
                <w:color w:val="00B050"/>
              </w:rPr>
              <w:t>Fagligt modul 1</w:t>
            </w:r>
          </w:p>
          <w:p w14:paraId="69F2DFE7" w14:textId="77777777" w:rsidR="0096092F" w:rsidRPr="002C3C74" w:rsidRDefault="0096092F" w:rsidP="00CC76C7">
            <w:pPr>
              <w:spacing w:line="276" w:lineRule="auto"/>
              <w:rPr>
                <w:color w:val="00B050"/>
              </w:rPr>
            </w:pPr>
            <w:r w:rsidRPr="002C3C74">
              <w:rPr>
                <w:color w:val="00B050"/>
              </w:rPr>
              <w:t>Motor</w:t>
            </w:r>
          </w:p>
          <w:p w14:paraId="25849BE1" w14:textId="77777777" w:rsidR="0096092F" w:rsidRPr="002C3C74" w:rsidRDefault="0096092F" w:rsidP="00CC76C7">
            <w:pPr>
              <w:spacing w:line="276" w:lineRule="auto"/>
              <w:rPr>
                <w:color w:val="00B050"/>
              </w:rPr>
            </w:pPr>
            <w:r w:rsidRPr="002C3C74">
              <w:rPr>
                <w:color w:val="00B050"/>
              </w:rPr>
              <w:t>5 uger</w:t>
            </w:r>
          </w:p>
        </w:tc>
        <w:tc>
          <w:tcPr>
            <w:tcW w:w="2268" w:type="dxa"/>
          </w:tcPr>
          <w:p w14:paraId="6B5CBCFC" w14:textId="77777777" w:rsidR="0096092F" w:rsidRPr="002C3C74" w:rsidRDefault="0096092F" w:rsidP="00CC76C7">
            <w:pPr>
              <w:spacing w:line="276" w:lineRule="auto"/>
              <w:rPr>
                <w:color w:val="00B050"/>
              </w:rPr>
            </w:pPr>
            <w:r w:rsidRPr="002C3C74">
              <w:rPr>
                <w:color w:val="00B050"/>
              </w:rPr>
              <w:t>Fagligt modul 2</w:t>
            </w:r>
          </w:p>
          <w:p w14:paraId="5FCAFCDE" w14:textId="77777777" w:rsidR="0096092F" w:rsidRPr="002C3C74" w:rsidRDefault="0096092F" w:rsidP="00CC76C7">
            <w:pPr>
              <w:spacing w:line="276" w:lineRule="auto"/>
              <w:rPr>
                <w:color w:val="00B050"/>
              </w:rPr>
            </w:pPr>
            <w:r w:rsidRPr="002C3C74">
              <w:rPr>
                <w:color w:val="00B050"/>
              </w:rPr>
              <w:t>Køretøjet som helhed</w:t>
            </w:r>
          </w:p>
          <w:p w14:paraId="0953AB17" w14:textId="77777777" w:rsidR="0096092F" w:rsidRPr="002C3C74" w:rsidRDefault="0096092F" w:rsidP="00CC76C7">
            <w:pPr>
              <w:spacing w:line="276" w:lineRule="auto"/>
              <w:rPr>
                <w:color w:val="00B050"/>
              </w:rPr>
            </w:pPr>
            <w:r w:rsidRPr="002C3C74">
              <w:rPr>
                <w:color w:val="00B050"/>
              </w:rPr>
              <w:t>5 uger</w:t>
            </w:r>
          </w:p>
        </w:tc>
        <w:tc>
          <w:tcPr>
            <w:tcW w:w="2444" w:type="dxa"/>
          </w:tcPr>
          <w:p w14:paraId="69D74E0C" w14:textId="77777777" w:rsidR="0096092F" w:rsidRPr="002C3C74" w:rsidRDefault="0096092F" w:rsidP="00CC76C7">
            <w:pPr>
              <w:spacing w:line="276" w:lineRule="auto"/>
              <w:rPr>
                <w:color w:val="00B050"/>
              </w:rPr>
            </w:pPr>
            <w:r w:rsidRPr="002C3C74">
              <w:rPr>
                <w:color w:val="00B050"/>
              </w:rPr>
              <w:t>Fagligt modul 3</w:t>
            </w:r>
          </w:p>
          <w:p w14:paraId="03DA0126" w14:textId="77777777" w:rsidR="0096092F" w:rsidRPr="002C3C74" w:rsidRDefault="0096092F" w:rsidP="00CC76C7">
            <w:pPr>
              <w:spacing w:line="276" w:lineRule="auto"/>
              <w:rPr>
                <w:color w:val="00B050"/>
              </w:rPr>
            </w:pPr>
            <w:r w:rsidRPr="002C3C74">
              <w:rPr>
                <w:color w:val="00B050"/>
              </w:rPr>
              <w:t>El-anlæg og måleteknik</w:t>
            </w:r>
          </w:p>
          <w:p w14:paraId="5D6AB9AA" w14:textId="77777777" w:rsidR="0096092F" w:rsidRPr="002C3C74" w:rsidRDefault="0096092F" w:rsidP="00CC76C7">
            <w:pPr>
              <w:spacing w:line="276" w:lineRule="auto"/>
              <w:rPr>
                <w:color w:val="00B050"/>
              </w:rPr>
            </w:pPr>
            <w:r>
              <w:rPr>
                <w:color w:val="00B050"/>
              </w:rPr>
              <w:t>5</w:t>
            </w:r>
            <w:r w:rsidRPr="002C3C74">
              <w:rPr>
                <w:color w:val="00B050"/>
              </w:rPr>
              <w:t xml:space="preserve"> uger</w:t>
            </w:r>
          </w:p>
        </w:tc>
        <w:tc>
          <w:tcPr>
            <w:tcW w:w="1886" w:type="dxa"/>
          </w:tcPr>
          <w:p w14:paraId="626184B3" w14:textId="77777777" w:rsidR="0096092F" w:rsidRPr="002C3C74" w:rsidRDefault="0096092F" w:rsidP="00CC76C7">
            <w:pPr>
              <w:spacing w:line="276" w:lineRule="auto"/>
              <w:rPr>
                <w:color w:val="00B050"/>
              </w:rPr>
            </w:pPr>
            <w:r>
              <w:rPr>
                <w:color w:val="00B050"/>
              </w:rPr>
              <w:t>Opsamling og</w:t>
            </w:r>
            <w:r w:rsidRPr="002C3C74">
              <w:rPr>
                <w:color w:val="00B050"/>
              </w:rPr>
              <w:t xml:space="preserve"> eksamen</w:t>
            </w:r>
          </w:p>
          <w:p w14:paraId="522CADFA" w14:textId="77777777" w:rsidR="0096092F" w:rsidRPr="002C3C74" w:rsidRDefault="0096092F" w:rsidP="00CC76C7">
            <w:pPr>
              <w:spacing w:line="276" w:lineRule="auto"/>
              <w:rPr>
                <w:color w:val="00B050"/>
              </w:rPr>
            </w:pPr>
            <w:r>
              <w:rPr>
                <w:color w:val="00B050"/>
              </w:rPr>
              <w:t>3</w:t>
            </w:r>
            <w:r w:rsidRPr="002C3C74">
              <w:rPr>
                <w:color w:val="00B050"/>
              </w:rPr>
              <w:t xml:space="preserve"> uger</w:t>
            </w:r>
          </w:p>
        </w:tc>
      </w:tr>
    </w:tbl>
    <w:p w14:paraId="60221111" w14:textId="77777777" w:rsidR="00DD3773" w:rsidRDefault="00DD3773" w:rsidP="00D71B4A">
      <w:pPr>
        <w:spacing w:after="0"/>
        <w:rPr>
          <w:rFonts w:ascii="Arial" w:hAnsi="Arial" w:cs="Arial"/>
          <w:sz w:val="24"/>
          <w:szCs w:val="24"/>
        </w:rPr>
      </w:pPr>
    </w:p>
    <w:p w14:paraId="2BC0950E" w14:textId="77777777" w:rsidR="000923A3" w:rsidRPr="002C3C74" w:rsidRDefault="000923A3" w:rsidP="000923A3">
      <w:pPr>
        <w:numPr>
          <w:ilvl w:val="0"/>
          <w:numId w:val="32"/>
        </w:numPr>
        <w:spacing w:after="0" w:line="276" w:lineRule="auto"/>
        <w:rPr>
          <w:color w:val="00B050"/>
        </w:rPr>
      </w:pPr>
      <w:r w:rsidRPr="002C3C74">
        <w:rPr>
          <w:color w:val="00B050"/>
        </w:rPr>
        <w:t>Kompetencevurdering</w:t>
      </w:r>
    </w:p>
    <w:p w14:paraId="162301DF" w14:textId="77777777" w:rsidR="000923A3" w:rsidRPr="002C3C74" w:rsidRDefault="000923A3" w:rsidP="000923A3">
      <w:pPr>
        <w:numPr>
          <w:ilvl w:val="0"/>
          <w:numId w:val="32"/>
        </w:numPr>
        <w:spacing w:after="0" w:line="276" w:lineRule="auto"/>
        <w:rPr>
          <w:color w:val="00B050"/>
        </w:rPr>
      </w:pPr>
      <w:r w:rsidRPr="002C3C74">
        <w:rPr>
          <w:color w:val="00B050"/>
        </w:rPr>
        <w:t>Fagligt modul 1 - motor</w:t>
      </w:r>
    </w:p>
    <w:p w14:paraId="580B7BF0" w14:textId="77777777" w:rsidR="000923A3" w:rsidRPr="002C3C74" w:rsidRDefault="000923A3" w:rsidP="000923A3">
      <w:pPr>
        <w:numPr>
          <w:ilvl w:val="0"/>
          <w:numId w:val="32"/>
        </w:numPr>
        <w:spacing w:after="0" w:line="276" w:lineRule="auto"/>
        <w:rPr>
          <w:color w:val="00B050"/>
        </w:rPr>
      </w:pPr>
      <w:r w:rsidRPr="002C3C74">
        <w:rPr>
          <w:color w:val="00B050"/>
        </w:rPr>
        <w:t xml:space="preserve">Fagligt modul 2 – køretøjet som helhed </w:t>
      </w:r>
    </w:p>
    <w:p w14:paraId="4B9E7B4E" w14:textId="77777777" w:rsidR="000923A3" w:rsidRPr="002C3C74" w:rsidRDefault="000923A3" w:rsidP="000923A3">
      <w:pPr>
        <w:numPr>
          <w:ilvl w:val="0"/>
          <w:numId w:val="32"/>
        </w:numPr>
        <w:spacing w:after="0" w:line="276" w:lineRule="auto"/>
        <w:rPr>
          <w:color w:val="00B050"/>
        </w:rPr>
      </w:pPr>
      <w:r w:rsidRPr="002C3C74">
        <w:rPr>
          <w:color w:val="00B050"/>
        </w:rPr>
        <w:t xml:space="preserve">Fagligt modul 3 – el-anlæg og måleteknik </w:t>
      </w:r>
    </w:p>
    <w:p w14:paraId="19ED465D" w14:textId="77777777" w:rsidR="000923A3" w:rsidRPr="002C3C74" w:rsidRDefault="000923A3" w:rsidP="000923A3">
      <w:pPr>
        <w:numPr>
          <w:ilvl w:val="0"/>
          <w:numId w:val="32"/>
        </w:numPr>
        <w:spacing w:after="0" w:line="276" w:lineRule="auto"/>
        <w:rPr>
          <w:color w:val="00B050"/>
        </w:rPr>
      </w:pPr>
      <w:r w:rsidRPr="002C3C74">
        <w:rPr>
          <w:color w:val="00B050"/>
        </w:rPr>
        <w:t>Fysik, matematik, dansk, engelsk (+ teknologi og samfundsfag for EUX-elever)</w:t>
      </w:r>
    </w:p>
    <w:p w14:paraId="3EB12E42" w14:textId="77777777" w:rsidR="000923A3" w:rsidRPr="002C3C74" w:rsidRDefault="000923A3" w:rsidP="000923A3">
      <w:pPr>
        <w:numPr>
          <w:ilvl w:val="0"/>
          <w:numId w:val="32"/>
        </w:numPr>
        <w:spacing w:after="0" w:line="276" w:lineRule="auto"/>
        <w:rPr>
          <w:color w:val="00B050"/>
        </w:rPr>
      </w:pPr>
      <w:r w:rsidRPr="002C3C74">
        <w:rPr>
          <w:color w:val="00B050"/>
        </w:rPr>
        <w:t>Arbejdsmiljø og sikkerhed - svejsning og termisk skæring</w:t>
      </w:r>
    </w:p>
    <w:p w14:paraId="2E4876F7" w14:textId="77777777" w:rsidR="000923A3" w:rsidRPr="002C3C74" w:rsidRDefault="000923A3" w:rsidP="000923A3">
      <w:pPr>
        <w:numPr>
          <w:ilvl w:val="0"/>
          <w:numId w:val="32"/>
        </w:numPr>
        <w:spacing w:after="0" w:line="276" w:lineRule="auto"/>
        <w:rPr>
          <w:color w:val="00B050"/>
        </w:rPr>
      </w:pPr>
      <w:r w:rsidRPr="002C3C74">
        <w:rPr>
          <w:color w:val="00B050"/>
        </w:rPr>
        <w:t>Epoxy-kursus</w:t>
      </w:r>
    </w:p>
    <w:p w14:paraId="2D08A52B" w14:textId="77777777" w:rsidR="000923A3" w:rsidRPr="002C3C74" w:rsidRDefault="000923A3" w:rsidP="000923A3">
      <w:pPr>
        <w:numPr>
          <w:ilvl w:val="0"/>
          <w:numId w:val="32"/>
        </w:numPr>
        <w:spacing w:after="0" w:line="276" w:lineRule="auto"/>
        <w:rPr>
          <w:color w:val="00B050"/>
        </w:rPr>
      </w:pPr>
      <w:r w:rsidRPr="002C3C74">
        <w:rPr>
          <w:color w:val="00B050"/>
        </w:rPr>
        <w:t>Førstehjælp og elementær brandbekæmpelse</w:t>
      </w:r>
    </w:p>
    <w:p w14:paraId="3FB52861" w14:textId="77777777" w:rsidR="000923A3" w:rsidRPr="002C3C74" w:rsidRDefault="000923A3" w:rsidP="000923A3">
      <w:pPr>
        <w:numPr>
          <w:ilvl w:val="0"/>
          <w:numId w:val="32"/>
        </w:numPr>
        <w:spacing w:after="0" w:line="276" w:lineRule="auto"/>
        <w:rPr>
          <w:color w:val="00B050"/>
        </w:rPr>
      </w:pPr>
      <w:r>
        <w:rPr>
          <w:color w:val="00B050"/>
        </w:rPr>
        <w:t>Grundforløbsprøven</w:t>
      </w: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724037"/>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6" w:name="_Toc156724038"/>
      <w:r w:rsidRPr="000B344E">
        <w:rPr>
          <w:b/>
          <w:bCs/>
        </w:rPr>
        <w:t xml:space="preserve">Evaluering og bedømmelse i grundfag og </w:t>
      </w:r>
      <w:r w:rsidR="00942D63">
        <w:rPr>
          <w:b/>
          <w:bCs/>
        </w:rPr>
        <w:t>uddannelsesspecifikke 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7" w:name="_Toc180463670"/>
      <w:bookmarkStart w:id="18" w:name="_Toc41895808"/>
      <w:bookmarkStart w:id="19" w:name="_Toc156724039"/>
      <w:r w:rsidRPr="00BD6D8D">
        <w:rPr>
          <w:b/>
          <w:bCs/>
          <w:color w:val="2F5496" w:themeColor="accent1" w:themeShade="BF"/>
          <w:sz w:val="32"/>
          <w:szCs w:val="32"/>
        </w:rPr>
        <w:t>Oversigt over bedømmelsesform</w:t>
      </w:r>
      <w:bookmarkEnd w:id="17"/>
      <w:bookmarkEnd w:id="18"/>
      <w:bookmarkEnd w:id="19"/>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77777777" w:rsidR="008A4FB1" w:rsidRPr="002C3C74" w:rsidRDefault="008A4FB1" w:rsidP="00CC76C7">
            <w:pPr>
              <w:spacing w:line="276" w:lineRule="auto"/>
            </w:pPr>
            <w:r w:rsidRPr="002C3C74">
              <w:t>Førstehjælp og elementær brandbekæmpelse:</w:t>
            </w:r>
          </w:p>
        </w:tc>
        <w:tc>
          <w:tcPr>
            <w:tcW w:w="3260" w:type="dxa"/>
            <w:tcBorders>
              <w:top w:val="single" w:sz="4" w:space="0" w:color="auto"/>
              <w:left w:val="single" w:sz="4" w:space="0" w:color="auto"/>
              <w:bottom w:val="single" w:sz="4" w:space="0" w:color="auto"/>
            </w:tcBorders>
            <w:vAlign w:val="center"/>
          </w:tcPr>
          <w:p w14:paraId="0C4421FD" w14:textId="1504E629" w:rsidR="008A4FB1" w:rsidRPr="002C3C74" w:rsidRDefault="008A4FB1" w:rsidP="00BD6D8D">
            <w:pPr>
              <w:spacing w:line="276" w:lineRule="auto"/>
            </w:pPr>
            <w:r>
              <w:t xml:space="preserve">Bestået / Ikke </w:t>
            </w:r>
            <w:proofErr w:type="gramStart"/>
            <w:r>
              <w:t>bestået  (</w:t>
            </w:r>
            <w:proofErr w:type="gramEnd"/>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7777777" w:rsidR="008A4FB1" w:rsidRPr="002C3C74" w:rsidRDefault="008A4FB1" w:rsidP="00CC76C7">
            <w:pPr>
              <w:spacing w:line="276" w:lineRule="auto"/>
            </w:pPr>
            <w:r w:rsidRPr="002C3C74">
              <w:t>Epoxy:</w:t>
            </w:r>
          </w:p>
        </w:tc>
        <w:tc>
          <w:tcPr>
            <w:tcW w:w="3260" w:type="dxa"/>
            <w:tcBorders>
              <w:top w:val="single" w:sz="4" w:space="0" w:color="auto"/>
              <w:left w:val="single" w:sz="4" w:space="0" w:color="auto"/>
              <w:bottom w:val="single" w:sz="4" w:space="0" w:color="auto"/>
            </w:tcBorders>
            <w:vAlign w:val="center"/>
          </w:tcPr>
          <w:p w14:paraId="306305B1" w14:textId="7A81C98D" w:rsidR="008A4FB1" w:rsidRPr="002C3C74" w:rsidRDefault="008A4FB1" w:rsidP="00BD6D8D">
            <w:pPr>
              <w:spacing w:line="276" w:lineRule="auto"/>
            </w:pPr>
            <w:r>
              <w:t>Bestået / Ikke bestået (bevis udstedes på GF2-bevis)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77777777" w:rsidR="008A4FB1" w:rsidRPr="002C3C74" w:rsidRDefault="008A4FB1" w:rsidP="00CC76C7">
            <w:pPr>
              <w:spacing w:line="276" w:lineRule="auto"/>
            </w:pPr>
            <w:r w:rsidRPr="002C3C74">
              <w:t>Modulerne internt på grundforløbet på</w:t>
            </w:r>
            <w:r>
              <w:t xml:space="preserve"> </w:t>
            </w:r>
            <w:proofErr w:type="spellStart"/>
            <w:r w:rsidRPr="002C3C74">
              <w:t>EUC-nordvest</w:t>
            </w:r>
            <w:proofErr w:type="spellEnd"/>
            <w:r w:rsidRPr="002C3C74">
              <w:t>:</w:t>
            </w:r>
          </w:p>
        </w:tc>
        <w:tc>
          <w:tcPr>
            <w:tcW w:w="3260" w:type="dxa"/>
            <w:tcBorders>
              <w:top w:val="single" w:sz="4" w:space="0" w:color="auto"/>
              <w:left w:val="single" w:sz="4" w:space="0" w:color="auto"/>
              <w:bottom w:val="single" w:sz="4" w:space="0" w:color="auto"/>
            </w:tcBorders>
            <w:vAlign w:val="center"/>
          </w:tcPr>
          <w:p w14:paraId="5227FDE7" w14:textId="77777777" w:rsidR="008A4FB1" w:rsidRPr="002C3C74" w:rsidRDefault="008A4FB1" w:rsidP="00CC76C7">
            <w:pPr>
              <w:spacing w:line="276" w:lineRule="auto"/>
            </w:pPr>
            <w:r w:rsidRPr="002C3C74">
              <w:t>Efter hvert modul gennemføres et projekt. Projektet bedømmes med en intern standpunktskarakter.</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20" w:name="_Toc156724040"/>
      <w:r w:rsidRPr="000B344E">
        <w:rPr>
          <w:b/>
          <w:bCs/>
        </w:rPr>
        <w:t>Afsluttende grundforløbsprøve</w:t>
      </w:r>
      <w:r w:rsidR="00995399" w:rsidRPr="000B344E">
        <w:rPr>
          <w:b/>
          <w:bCs/>
        </w:rPr>
        <w:t xml:space="preserve"> GF2</w:t>
      </w:r>
      <w:bookmarkEnd w:id="20"/>
    </w:p>
    <w:p w14:paraId="71C58C99" w14:textId="77777777" w:rsidR="00EF1680" w:rsidRDefault="00EF1680" w:rsidP="00EF1680">
      <w:pPr>
        <w:spacing w:after="0"/>
        <w:rPr>
          <w:rFonts w:ascii="Arial" w:hAnsi="Arial" w:cs="Arial"/>
          <w:b/>
          <w:bCs/>
          <w:sz w:val="24"/>
          <w:szCs w:val="24"/>
        </w:rPr>
      </w:pPr>
    </w:p>
    <w:p w14:paraId="6DB3987A" w14:textId="1F0168DA"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for mekanikere</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4159D006" w:rsidR="00F629D3" w:rsidRPr="002B62DF" w:rsidRDefault="00F629D3" w:rsidP="00F629D3">
      <w:pPr>
        <w:spacing w:after="0"/>
        <w:rPr>
          <w:rFonts w:ascii="Arial" w:hAnsi="Arial" w:cs="Arial"/>
          <w:sz w:val="24"/>
          <w:szCs w:val="24"/>
        </w:rPr>
      </w:pPr>
      <w:r w:rsidRPr="002B62DF">
        <w:rPr>
          <w:rFonts w:ascii="Arial" w:hAnsi="Arial" w:cs="Arial"/>
          <w:sz w:val="24"/>
          <w:szCs w:val="24"/>
        </w:rPr>
        <w:t xml:space="preserve">Prøven </w:t>
      </w:r>
      <w:r w:rsidR="002D2422">
        <w:rPr>
          <w:rFonts w:ascii="Arial" w:hAnsi="Arial" w:cs="Arial"/>
          <w:sz w:val="24"/>
          <w:szCs w:val="24"/>
        </w:rPr>
        <w:t xml:space="preserve">er mundtlig og eleven </w:t>
      </w:r>
      <w:r w:rsidR="00D404A6">
        <w:rPr>
          <w:rFonts w:ascii="Arial" w:hAnsi="Arial" w:cs="Arial"/>
          <w:sz w:val="24"/>
          <w:szCs w:val="24"/>
        </w:rPr>
        <w:t xml:space="preserve">trækker mellem en række kendte emner, </w:t>
      </w:r>
      <w:r w:rsidR="00FC48A3">
        <w:rPr>
          <w:rFonts w:ascii="Arial" w:hAnsi="Arial" w:cs="Arial"/>
          <w:sz w:val="24"/>
          <w:szCs w:val="24"/>
        </w:rPr>
        <w:t>typisk en adskillelses- og monteringsopgave indeholdende måleteknik og mundtlig redegørelse for</w:t>
      </w:r>
      <w:r w:rsidR="000C13DC">
        <w:rPr>
          <w:rFonts w:ascii="Arial" w:hAnsi="Arial" w:cs="Arial"/>
          <w:sz w:val="24"/>
          <w:szCs w:val="24"/>
        </w:rPr>
        <w:t xml:space="preserve"> teorierne bag det trukne emne.</w:t>
      </w:r>
      <w:r w:rsidR="002B3958">
        <w:rPr>
          <w:rFonts w:ascii="Arial" w:hAnsi="Arial" w:cs="Arial"/>
          <w:sz w:val="24"/>
          <w:szCs w:val="24"/>
        </w:rPr>
        <w:t xml:space="preserve"> </w:t>
      </w:r>
    </w:p>
    <w:p w14:paraId="61150923" w14:textId="7374B8AF"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 selve prøven varer ca. 3 timer, fra start til slut.</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28C6E13D"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Særligt vedr. grundforløbsprøven, det landsdækkende skolesamarbejde på mekaniker-området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B8CCAE7" w14:textId="22B8D86B" w:rsidR="00F33B56"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F33B56" w:rsidSect="000F2C2E">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B5D" w14:textId="77777777" w:rsidR="000F2C2E" w:rsidRDefault="000F2C2E" w:rsidP="00BE16BE">
      <w:pPr>
        <w:spacing w:after="0" w:line="240" w:lineRule="auto"/>
      </w:pPr>
      <w:r>
        <w:separator/>
      </w:r>
    </w:p>
  </w:endnote>
  <w:endnote w:type="continuationSeparator" w:id="0">
    <w:p w14:paraId="6F92E200" w14:textId="77777777" w:rsidR="000F2C2E" w:rsidRDefault="000F2C2E"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B9A" w14:textId="77777777" w:rsidR="000F2C2E" w:rsidRDefault="000F2C2E" w:rsidP="00BE16BE">
      <w:pPr>
        <w:spacing w:after="0" w:line="240" w:lineRule="auto"/>
      </w:pPr>
      <w:r>
        <w:separator/>
      </w:r>
    </w:p>
  </w:footnote>
  <w:footnote w:type="continuationSeparator" w:id="0">
    <w:p w14:paraId="3C84F084" w14:textId="77777777" w:rsidR="000F2C2E" w:rsidRDefault="000F2C2E"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9"/>
  </w:num>
  <w:num w:numId="3" w16cid:durableId="1852645256">
    <w:abstractNumId w:val="25"/>
  </w:num>
  <w:num w:numId="4" w16cid:durableId="1753503474">
    <w:abstractNumId w:val="30"/>
  </w:num>
  <w:num w:numId="5" w16cid:durableId="235484137">
    <w:abstractNumId w:val="1"/>
  </w:num>
  <w:num w:numId="6" w16cid:durableId="95562224">
    <w:abstractNumId w:val="13"/>
  </w:num>
  <w:num w:numId="7" w16cid:durableId="1908415522">
    <w:abstractNumId w:val="2"/>
  </w:num>
  <w:num w:numId="8" w16cid:durableId="13503196">
    <w:abstractNumId w:val="6"/>
  </w:num>
  <w:num w:numId="9" w16cid:durableId="1956675158">
    <w:abstractNumId w:val="27"/>
  </w:num>
  <w:num w:numId="10" w16cid:durableId="1783916580">
    <w:abstractNumId w:val="23"/>
  </w:num>
  <w:num w:numId="11" w16cid:durableId="10303470">
    <w:abstractNumId w:val="26"/>
  </w:num>
  <w:num w:numId="12" w16cid:durableId="595557352">
    <w:abstractNumId w:val="10"/>
  </w:num>
  <w:num w:numId="13" w16cid:durableId="664361721">
    <w:abstractNumId w:val="21"/>
  </w:num>
  <w:num w:numId="14" w16cid:durableId="1364557334">
    <w:abstractNumId w:val="15"/>
  </w:num>
  <w:num w:numId="15" w16cid:durableId="883785279">
    <w:abstractNumId w:val="7"/>
  </w:num>
  <w:num w:numId="16" w16cid:durableId="1048993731">
    <w:abstractNumId w:val="17"/>
  </w:num>
  <w:num w:numId="17" w16cid:durableId="946933981">
    <w:abstractNumId w:val="29"/>
  </w:num>
  <w:num w:numId="18" w16cid:durableId="876625743">
    <w:abstractNumId w:val="20"/>
  </w:num>
  <w:num w:numId="19" w16cid:durableId="1338191161">
    <w:abstractNumId w:val="24"/>
  </w:num>
  <w:num w:numId="20" w16cid:durableId="1177115415">
    <w:abstractNumId w:val="8"/>
  </w:num>
  <w:num w:numId="21" w16cid:durableId="1247304821">
    <w:abstractNumId w:val="19"/>
  </w:num>
  <w:num w:numId="22" w16cid:durableId="1794640234">
    <w:abstractNumId w:val="16"/>
  </w:num>
  <w:num w:numId="23" w16cid:durableId="983239220">
    <w:abstractNumId w:val="12"/>
  </w:num>
  <w:num w:numId="24" w16cid:durableId="559560224">
    <w:abstractNumId w:val="0"/>
  </w:num>
  <w:num w:numId="25" w16cid:durableId="1146825659">
    <w:abstractNumId w:val="11"/>
  </w:num>
  <w:num w:numId="26" w16cid:durableId="1574972755">
    <w:abstractNumId w:val="4"/>
  </w:num>
  <w:num w:numId="27" w16cid:durableId="1532186586">
    <w:abstractNumId w:val="22"/>
  </w:num>
  <w:num w:numId="28" w16cid:durableId="377702893">
    <w:abstractNumId w:val="31"/>
  </w:num>
  <w:num w:numId="29" w16cid:durableId="2098213146">
    <w:abstractNumId w:val="28"/>
  </w:num>
  <w:num w:numId="30" w16cid:durableId="1858542541">
    <w:abstractNumId w:val="3"/>
  </w:num>
  <w:num w:numId="31" w16cid:durableId="330641924">
    <w:abstractNumId w:val="14"/>
  </w:num>
  <w:num w:numId="32" w16cid:durableId="244261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321FA"/>
    <w:rsid w:val="0003414F"/>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3A3"/>
    <w:rsid w:val="00092704"/>
    <w:rsid w:val="000940A7"/>
    <w:rsid w:val="000942E7"/>
    <w:rsid w:val="0009636F"/>
    <w:rsid w:val="000A0790"/>
    <w:rsid w:val="000A1F0A"/>
    <w:rsid w:val="000A269F"/>
    <w:rsid w:val="000A3F69"/>
    <w:rsid w:val="000B0959"/>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2C2E"/>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70DA"/>
    <w:rsid w:val="001A7E92"/>
    <w:rsid w:val="001B1F9D"/>
    <w:rsid w:val="001B377F"/>
    <w:rsid w:val="001B672A"/>
    <w:rsid w:val="001C1913"/>
    <w:rsid w:val="001C241A"/>
    <w:rsid w:val="001C2D8D"/>
    <w:rsid w:val="001C3AF2"/>
    <w:rsid w:val="001C4056"/>
    <w:rsid w:val="001C44EC"/>
    <w:rsid w:val="001D06F4"/>
    <w:rsid w:val="001D1410"/>
    <w:rsid w:val="001D60A9"/>
    <w:rsid w:val="001E147D"/>
    <w:rsid w:val="001E2BFD"/>
    <w:rsid w:val="001E2D02"/>
    <w:rsid w:val="001E38FC"/>
    <w:rsid w:val="001E5271"/>
    <w:rsid w:val="001F07F4"/>
    <w:rsid w:val="001F44D8"/>
    <w:rsid w:val="001F6592"/>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5C8A"/>
    <w:rsid w:val="0047766E"/>
    <w:rsid w:val="004807DC"/>
    <w:rsid w:val="00486128"/>
    <w:rsid w:val="00492161"/>
    <w:rsid w:val="004924E7"/>
    <w:rsid w:val="0049680A"/>
    <w:rsid w:val="004A344A"/>
    <w:rsid w:val="004A616A"/>
    <w:rsid w:val="004A73D4"/>
    <w:rsid w:val="004A772E"/>
    <w:rsid w:val="004B2655"/>
    <w:rsid w:val="004B2BBF"/>
    <w:rsid w:val="004B35D1"/>
    <w:rsid w:val="004C0D4E"/>
    <w:rsid w:val="004C1248"/>
    <w:rsid w:val="004C4863"/>
    <w:rsid w:val="004C4FA8"/>
    <w:rsid w:val="004C502E"/>
    <w:rsid w:val="004C5CBF"/>
    <w:rsid w:val="004C7B72"/>
    <w:rsid w:val="004D27C6"/>
    <w:rsid w:val="004D57B5"/>
    <w:rsid w:val="004D741E"/>
    <w:rsid w:val="004E1360"/>
    <w:rsid w:val="004E3A4F"/>
    <w:rsid w:val="004E5769"/>
    <w:rsid w:val="004F5AFC"/>
    <w:rsid w:val="004F7AC3"/>
    <w:rsid w:val="0051112B"/>
    <w:rsid w:val="00511D05"/>
    <w:rsid w:val="00512633"/>
    <w:rsid w:val="00520FBB"/>
    <w:rsid w:val="00521D30"/>
    <w:rsid w:val="00522FB9"/>
    <w:rsid w:val="00525BB8"/>
    <w:rsid w:val="005267A1"/>
    <w:rsid w:val="005278D5"/>
    <w:rsid w:val="00527D22"/>
    <w:rsid w:val="005375C5"/>
    <w:rsid w:val="005414D8"/>
    <w:rsid w:val="0054194E"/>
    <w:rsid w:val="00543537"/>
    <w:rsid w:val="0054476F"/>
    <w:rsid w:val="00547CDC"/>
    <w:rsid w:val="00554583"/>
    <w:rsid w:val="00560BF9"/>
    <w:rsid w:val="00560FD5"/>
    <w:rsid w:val="00561C6F"/>
    <w:rsid w:val="0056536E"/>
    <w:rsid w:val="00565F1C"/>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564DF"/>
    <w:rsid w:val="00657CDF"/>
    <w:rsid w:val="006611B0"/>
    <w:rsid w:val="0066449D"/>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71C3"/>
    <w:rsid w:val="00917506"/>
    <w:rsid w:val="00924242"/>
    <w:rsid w:val="00924837"/>
    <w:rsid w:val="00924A7D"/>
    <w:rsid w:val="00925ABE"/>
    <w:rsid w:val="00926858"/>
    <w:rsid w:val="0092760D"/>
    <w:rsid w:val="00927897"/>
    <w:rsid w:val="00930907"/>
    <w:rsid w:val="0093378B"/>
    <w:rsid w:val="009350E3"/>
    <w:rsid w:val="00942D63"/>
    <w:rsid w:val="00944187"/>
    <w:rsid w:val="00946D43"/>
    <w:rsid w:val="00951D27"/>
    <w:rsid w:val="0095254E"/>
    <w:rsid w:val="00953E2B"/>
    <w:rsid w:val="0095484C"/>
    <w:rsid w:val="00957150"/>
    <w:rsid w:val="0096092F"/>
    <w:rsid w:val="00960BD9"/>
    <w:rsid w:val="00962448"/>
    <w:rsid w:val="00965002"/>
    <w:rsid w:val="00970502"/>
    <w:rsid w:val="00980556"/>
    <w:rsid w:val="00980722"/>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436E"/>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C71E6"/>
    <w:rsid w:val="00AD179B"/>
    <w:rsid w:val="00AD4554"/>
    <w:rsid w:val="00AD5019"/>
    <w:rsid w:val="00AE1766"/>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35EE"/>
    <w:rsid w:val="00CF4754"/>
    <w:rsid w:val="00CF5B36"/>
    <w:rsid w:val="00CF7CA6"/>
    <w:rsid w:val="00D00A77"/>
    <w:rsid w:val="00D03FB1"/>
    <w:rsid w:val="00D15D85"/>
    <w:rsid w:val="00D1654D"/>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8DC"/>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0772"/>
    <w:rsid w:val="00EC2DE1"/>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C48A3"/>
    <w:rsid w:val="00FC7A0A"/>
    <w:rsid w:val="00FD1F39"/>
    <w:rsid w:val="00FD6C43"/>
    <w:rsid w:val="00FE1016"/>
    <w:rsid w:val="00FE14C9"/>
    <w:rsid w:val="00FE1887"/>
    <w:rsid w:val="00FE2BD0"/>
    <w:rsid w:val="00FE2DED"/>
    <w:rsid w:val="00FE47E8"/>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2/6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3468</Words>
  <Characters>21158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personvognsmekaniker, EUC Nordvest - GF2</dc:subject>
  <dc:creator>Jane Holm Vinther</dc:creator>
  <cp:keywords/>
  <dc:description/>
  <cp:lastModifiedBy>Torben Ladefoged</cp:lastModifiedBy>
  <cp:revision>8</cp:revision>
  <cp:lastPrinted>2021-06-16T05:38:00Z</cp:lastPrinted>
  <dcterms:created xsi:type="dcterms:W3CDTF">2024-01-21T08:39:00Z</dcterms:created>
  <dcterms:modified xsi:type="dcterms:W3CDTF">2024-01-21T09:06:00Z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